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nội dung đăng ký hoạt động của Trung tâm tư vấn pháp luật, chi nhánh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Tư vấn pháp luật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Chậm nhất là mười ngày làm việc, kể từ ngày có quyết định thay đổi trụ sở hoặc Giám đốc Trung tâm, Trưởng Chi nhánh, tư vấn viên pháp luật, luật sư, thì Trung tâm tư vấn pháp luật, Chi nhánh phải gửi thông báo bằng văn bản cho Sở Tư pháp nơi đăng ký hoạt động về việc thay đổi.</w:t>
      </w:r>
    </w:p>
    <w:p>
      <w:pPr>
        <w:spacing w:after="0" w:before="0" w:lineRule="auto" w:line="276"/>
        <w:jc w:val="both"/>
      </w:pPr>
      <w:r>
        <w:rPr>
          <w:rFonts w:ascii="Times New Roman" w:hAnsi="Times New Roman" w:cs="Times New Roman" w:eastAsia="Times New Roman"/>
          <w:b w:val="false"/>
          <w:sz w:val="26"/>
        </w:rPr>
        <w:t>- Trong thời hạn bảy ngày làm việc, kể từ ngày nhận đủ hồ sơ hợp lệ, Sở Tư pháp thực hiện việc ghi nội dung thay đổi nêu trên vào Giấy đăng ký hoạt động của Trung tâm, Chi nhánh và giao lại bản chính Giấy đăng ký hoạt động cho Trung tâm, Chi nhánh sau khi đã hoàn tất thủ tục.</w:t>
      </w:r>
    </w:p>
    <w:p>
      <w:pPr>
        <w:spacing w:after="0" w:before="0" w:lineRule="auto" w:line="276"/>
        <w:jc w:val="both"/>
      </w:pPr>
      <w:r>
        <w:rPr>
          <w:rFonts w:ascii="Times New Roman" w:hAnsi="Times New Roman" w:cs="Times New Roman" w:eastAsia="Times New Roman"/>
          <w:b w:val="false"/>
          <w:sz w:val="26"/>
        </w:rPr>
        <w:t xml:space="preserve">- Trong quá trình hoạt động, nếu tổ chức chủ quản quyết định thay đổi về mức thu thù lao hoặc sửa đổi, bổ sung quy chế tổ chức, hoạt động của Trung tâm thì Trung tâm tư vấn pháp luật có trách nhiệm gửi biểu thù lao, quy chế mới cho Sở Tư pháp nơi đăng ký hoạt động của Trung tâm.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thời hạn bảy ngày làm việc, kể từ ngày nhận đủ hồ sơ hợp lệ.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thời hạn bảy ngày làm việc, kể từ ngày nhận đủ hồ sơ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đăng ký hoạt động của Trung tâm tư vấn pháp luật,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trụ sở mới của Trung tâm, Chi nhánh trong trường hợp thay đổi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về việc cử Giám đốc Trung tâm, Trưởng Chi nhánh trong trường hợp thay đổi Giám đốc Trung tâm, Trưởng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cấp Thẻ tư vấn viên pháp luật, hồ sơ của luật sư trong trường hợp bổ sung tư vấn viên pháp luật, luật sư. Sở Tư pháp xem xét, cấp Thẻ tư vấn viên pháp luật cho người được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THÔNG BÁO VỀ VIỆC THAY ĐỔI NỘI DUNG ĐĂNG KÝ HOẠT ĐỘNG CỦA TRUNG TÂM TƯ VẤN PHÁP LUẬT</w:t>
            </w:r>
          </w:p>
        </w:tc>
        <w:tc>
          <w:p/>
          <w:p>
            <w:pPr>
              <w:spacing w:after="0" w:before="0" w:lineRule="auto" w:line="276"/>
              <w:jc w:val="left"/>
            </w:pPr>
            <w:r>
              <w:rPr>
                <w:rFonts w:ascii="Times New Roman" w:hAnsi="Times New Roman" w:cs="Times New Roman" w:eastAsia="Times New Roman"/>
                <w:b w:val="false"/>
                <w:sz w:val="26"/>
              </w:rPr>
              <w:t>Mẫu TP-TVPL-11.doc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Giấy đăng ký hoạt động của Trung tâm tư vấn pháp luật, Giấy đăng ký hoạt động của Chi nhánh Trung tâm tư vấn pháp luật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01/2010/TT-BTP</w:t>
            </w:r>
          </w:p>
        </w:tc>
        <w:tc>
          <w:p/>
          <w:p>
            <w:pPr>
              <w:spacing w:after="0" w:before="0" w:lineRule="auto" w:line="276"/>
              <w:jc w:val="left"/>
            </w:pPr>
            <w:r>
              <w:rPr>
                <w:rFonts w:ascii="Times New Roman" w:hAnsi="Times New Roman" w:cs="Times New Roman" w:eastAsia="Times New Roman"/>
                <w:b w:val="false"/>
                <w:sz w:val="26"/>
              </w:rPr>
              <w:t>Thông tư 01/2010/TT-BTP</w:t>
            </w:r>
          </w:p>
        </w:tc>
        <w:tc>
          <w:p/>
          <w:p>
            <w:pPr>
              <w:spacing w:after="0" w:before="0" w:lineRule="auto" w:line="276"/>
              <w:jc w:val="left"/>
            </w:pPr>
            <w:r>
              <w:rPr>
                <w:rFonts w:ascii="Times New Roman" w:hAnsi="Times New Roman" w:cs="Times New Roman" w:eastAsia="Times New Roman"/>
                <w:b w:val="false"/>
                <w:sz w:val="26"/>
              </w:rPr>
              <w:t>09-02-2010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77/2008/NĐ-CP</w:t>
            </w:r>
          </w:p>
        </w:tc>
        <w:tc>
          <w:p/>
          <w:p>
            <w:pPr>
              <w:spacing w:after="0" w:before="0" w:lineRule="auto" w:line="276"/>
              <w:jc w:val="left"/>
            </w:pPr>
            <w:r>
              <w:rPr>
                <w:rFonts w:ascii="Times New Roman" w:hAnsi="Times New Roman" w:cs="Times New Roman" w:eastAsia="Times New Roman"/>
                <w:b w:val="false"/>
                <w:sz w:val="26"/>
              </w:rPr>
              <w:t>Nghị định 77/2008/NĐ-CP</w:t>
            </w:r>
          </w:p>
        </w:tc>
        <w:tc>
          <w:p/>
          <w:p>
            <w:pPr>
              <w:spacing w:after="0" w:before="0" w:lineRule="auto" w:line="276"/>
              <w:jc w:val="left"/>
            </w:pPr>
            <w:r>
              <w:rPr>
                <w:rFonts w:ascii="Times New Roman" w:hAnsi="Times New Roman" w:cs="Times New Roman" w:eastAsia="Times New Roman"/>
                <w:b w:val="false"/>
                <w:sz w:val="26"/>
              </w:rPr>
              <w:t>16-07-2008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19/2011/TT-BTP</w:t>
            </w:r>
          </w:p>
        </w:tc>
        <w:tc>
          <w:p/>
          <w:p>
            <w:pPr>
              <w:spacing w:after="0" w:before="0" w:lineRule="auto" w:line="276"/>
              <w:jc w:val="left"/>
            </w:pPr>
            <w:r>
              <w:rPr>
                <w:rFonts w:ascii="Times New Roman" w:hAnsi="Times New Roman" w:cs="Times New Roman" w:eastAsia="Times New Roman"/>
                <w:b w:val="false"/>
                <w:sz w:val="26"/>
              </w:rPr>
              <w:t>Thông tư 19/2011/TT-BTP</w:t>
            </w:r>
          </w:p>
        </w:tc>
        <w:tc>
          <w:p/>
          <w:p>
            <w:pPr>
              <w:spacing w:after="0" w:before="0" w:lineRule="auto" w:line="276"/>
              <w:jc w:val="left"/>
            </w:pPr>
            <w:r>
              <w:rPr>
                <w:rFonts w:ascii="Times New Roman" w:hAnsi="Times New Roman" w:cs="Times New Roman" w:eastAsia="Times New Roman"/>
                <w:b w:val="false"/>
                <w:sz w:val="26"/>
              </w:rPr>
              <w:t>31-10-2011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2025-11-27T16:22:43Z</dcterms:created>
  <dc:creator>Apache POI</dc:creator>
</cp:coreProperties>
</file>