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1.000593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1833/QĐ-BTP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kết hôn lưu động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Công chức tư pháp - hộ tịch cấp xã được giao nhiệm vụ đăng ký kết hôn lưu động có trách nhiệm chuẩn bị đầy đủ các loại mẫu Tờ khai, giấy tờ hộ tịch và điều kiện cần thiết để thực hiện đăng ký lưu động.</w:t>
      </w:r>
    </w:p>
    <w:p>
      <w:pPr>
        <w:spacing w:after="0" w:before="0" w:lineRule="auto" w:line="276"/>
        <w:jc w:val="both"/>
      </w:pPr>
      <w:r>
        <w:rPr>
          <w:rFonts w:ascii="Times New Roman" w:hAnsi="Times New Roman" w:cs="Times New Roman" w:eastAsia="Times New Roman"/>
          <w:b w:val="false"/>
          <w:sz w:val="26"/>
        </w:rPr>
        <w:t>- Tại địa điểm đăng ký kết hôn lưu động, công chức tư pháp - hộ tịch có trách nhiệm kiểm tra, xác minh về điều kiện kết hôn của các bên; hướng dẫn người dân điền đầy đủ thông tin trong Tờ khai đăng ký kết hôn. Nếu hồ sơ đầy đủ, hợp lệ, công chức tư pháp - hộ tịch tiếp nhận hồ sơ viết Phiếu tiếp nhận hồ sơ.</w:t>
      </w:r>
    </w:p>
    <w:p>
      <w:pPr>
        <w:spacing w:after="0" w:before="0" w:lineRule="auto" w:line="276"/>
        <w:jc w:val="both"/>
      </w:pPr>
      <w:r>
        <w:rPr>
          <w:rFonts w:ascii="Times New Roman" w:hAnsi="Times New Roman" w:cs="Times New Roman" w:eastAsia="Times New Roman"/>
          <w:b w:val="false"/>
          <w:sz w:val="26"/>
        </w:rPr>
        <w:t>- Sau khi tiếp nhận hồ sơ, công chức tư pháp - hộ tịch báo cáo Chủ tịch Ủy ban nhân dân cấp xã. Trường hợp Chủ tịch Ủy ban nhân dân đồng ý giải quyết thì ký cấp 02 Giấy chứng nhận kết hôn cho người có yêu cầu. Công chức tư pháp - hộ tịch ghi nội dung đăng ký vào Sổ đăng ký kết hôn, hướng dẫn các bên kiểm tra nội dung Giấy chứng nhận kết hôn và Sổ đăng ký kết hôn, cùng các bên nam, nữ ký vào Sổ đăng ký kết hôn, Giấy chứng nhận kết hôn theo quy định; tiến hành trao Giấy chứng nhận kết hôn cho các bên tại địa điểm đăng ký lưu động. Tại mục “Ghi chú” trong Sổ đăng ký kết hôn ghi rõ “Đăng ký lưu động”.</w:t>
      </w:r>
    </w:p>
    <w:p>
      <w:pPr>
        <w:spacing w:after="0" w:before="0" w:lineRule="auto" w:line="276"/>
        <w:jc w:val="both"/>
      </w:pPr>
      <w:r>
        <w:rPr>
          <w:rFonts w:ascii="Times New Roman" w:hAnsi="Times New Roman" w:cs="Times New Roman" w:eastAsia="Times New Roman"/>
          <w:b w:val="false"/>
          <w:sz w:val="26"/>
        </w:rPr>
        <w:t>- Trường hợp người yêu cầu không biết chữ thì công chức tư pháp - hộ tịch trực tiếp ghi Tờ khai, sau đó đọc cho người yêu cầu nghe lại nội dung và hướng dẫn người đó điểm chỉ vào Tờ khai. Khi trao Giấy chứng nhận kết hôn, công chức tư pháp - hộ tịch phải đọc lại nội dung Giấy chứng nhận kết hôn cho người yêu cầu nghe và hướng dẫn người đó điểm chỉ vào Sổ đăng ký kết hôn.</w:t>
      </w:r>
    </w:p>
    <w:p>
      <w:pPr>
        <w:spacing w:after="0" w:before="0" w:lineRule="auto" w:line="276"/>
        <w:jc w:val="both"/>
      </w:pPr>
      <w:r>
        <w:rPr>
          <w:rFonts w:ascii="Times New Roman" w:hAnsi="Times New Roman" w:cs="Times New Roman" w:eastAsia="Times New Roman"/>
          <w:b w:val="false"/>
          <w:sz w:val="26"/>
        </w:rPr>
        <w:t>* Lưu ý: Người tiếp nhận hồ sơ thực hiện khai thác thông tin trong Cơ sở dữ liệu quốc gia về dân cư theo quy định pháp luật nếu người yêu cầu đăng ký hộ tịch đã cung cấp họ, chữ đệm, tên; ngày, tháng, năm sinh; số định danh cá nhân/thẻ căn cước công dân/thẻ căn cước/chứng minh nhân dân/căn cước điện tử. Trường hợp các thông tin cần khai thác không có trong Cơ sở dữ liệu quốc gia về dân cư thì đề nghị người yêu cầu kê khai đầy đủ.</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Lệ phí : Miễn lệ phí. </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đăng ký kết hôn theo mẫu. Hai bên nam, nữ có thể khai chung vào một Tờ khai đăng ký kết hôn.</w:t>
            </w:r>
          </w:p>
        </w:tc>
        <w:tc>
          <w:p/>
          <w:p>
            <w:pPr>
              <w:spacing w:after="0" w:before="0" w:lineRule="auto" w:line="276"/>
              <w:jc w:val="left"/>
            </w:pPr>
            <w:r>
              <w:rPr>
                <w:rFonts w:ascii="Times New Roman" w:hAnsi="Times New Roman" w:cs="Times New Roman" w:eastAsia="Times New Roman"/>
                <w:b w:val="false"/>
                <w:sz w:val="26"/>
              </w:rPr>
              <w:t>2.TKngkkthn.doc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người có yêu cầu đăng ký kết hôn.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có giá trị chứng minh thông tin về cư trú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Tại địa điểm đăng ký kết hôn lưu động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kết hôn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52/2014/QH13</w:t>
            </w:r>
          </w:p>
        </w:tc>
        <w:tc>
          <w:p/>
          <w:p>
            <w:pPr>
              <w:spacing w:after="0" w:before="0" w:lineRule="auto" w:line="276"/>
              <w:jc w:val="left"/>
            </w:pPr>
            <w:r>
              <w:rPr>
                <w:rFonts w:ascii="Times New Roman" w:hAnsi="Times New Roman" w:cs="Times New Roman" w:eastAsia="Times New Roman"/>
                <w:b w:val="false"/>
                <w:sz w:val="26"/>
              </w:rPr>
              <w:t>Luật Hôn nhân và gia đình 52/2014/QH13</w:t>
            </w:r>
          </w:p>
        </w:tc>
        <w:tc>
          <w:p/>
          <w:p>
            <w:pPr>
              <w:spacing w:after="0" w:before="0" w:lineRule="auto" w:line="276"/>
              <w:jc w:val="left"/>
            </w:pPr>
            <w:r>
              <w:rPr>
                <w:rFonts w:ascii="Times New Roman" w:hAnsi="Times New Roman" w:cs="Times New Roman" w:eastAsia="Times New Roman"/>
                <w:b w:val="false"/>
                <w:sz w:val="26"/>
              </w:rPr>
              <w:t>19-06-2014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04/2020/TT-BTP</w:t>
            </w:r>
          </w:p>
        </w:tc>
        <w:tc>
          <w:p/>
          <w:p>
            <w:pPr>
              <w:spacing w:after="0" w:before="0" w:lineRule="auto" w:line="276"/>
              <w:jc w:val="left"/>
            </w:pPr>
            <w:r>
              <w:rPr>
                <w:rFonts w:ascii="Times New Roman" w:hAnsi="Times New Roman" w:cs="Times New Roman" w:eastAsia="Times New Roman"/>
                <w:b w:val="false"/>
                <w:sz w:val="26"/>
              </w:rPr>
              <w:t>Thông tư 04/2020/TT-BTP</w:t>
            </w:r>
          </w:p>
        </w:tc>
        <w:tc>
          <w:p/>
          <w:p>
            <w:pPr>
              <w:spacing w:after="0" w:before="0" w:lineRule="auto" w:line="276"/>
              <w:jc w:val="left"/>
            </w:pPr>
            <w:r>
              <w:rPr>
                <w:rFonts w:ascii="Times New Roman" w:hAnsi="Times New Roman" w:cs="Times New Roman" w:eastAsia="Times New Roman"/>
                <w:b w:val="false"/>
                <w:sz w:val="26"/>
              </w:rPr>
              <w:t>28-05-2020</w:t>
            </w:r>
          </w:p>
        </w:tc>
        <w:tc>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85/2019/TT-BTC</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106/2021/TT-BTC</w:t>
            </w:r>
          </w:p>
        </w:tc>
        <w:tc>
          <w:p/>
          <w:p>
            <w:pPr>
              <w:spacing w:after="0" w:before="0" w:lineRule="auto" w:line="276"/>
              <w:jc w:val="left"/>
            </w:pPr>
            <w:r>
              <w:rPr>
                <w:rFonts w:ascii="Times New Roman" w:hAnsi="Times New Roman" w:cs="Times New Roman" w:eastAsia="Times New Roman"/>
                <w:b w:val="false"/>
                <w:sz w:val="26"/>
              </w:rPr>
              <w:t>Thông tư 106/2021/TT-BTC</w:t>
            </w:r>
          </w:p>
        </w:tc>
        <w:tc>
          <w:p/>
          <w:p>
            <w:pPr>
              <w:spacing w:after="0" w:before="0" w:lineRule="auto" w:line="276"/>
              <w:jc w:val="left"/>
            </w:pPr>
            <w:r>
              <w:rPr>
                <w:rFonts w:ascii="Times New Roman" w:hAnsi="Times New Roman" w:cs="Times New Roman" w:eastAsia="Times New Roman"/>
                <w:b w:val="false"/>
                <w:sz w:val="26"/>
              </w:rPr>
              <w:t>26-11-2021</w:t>
            </w:r>
          </w:p>
        </w:tc>
        <w:tc>
          <w:p/>
        </w:tc>
      </w:tr>
      <w:tr>
        <w:tc>
          <w:p/>
          <w:p>
            <w:pPr>
              <w:spacing w:after="0" w:before="0" w:lineRule="auto" w:line="276"/>
              <w:jc w:val="left"/>
            </w:pPr>
            <w:r>
              <w:rPr>
                <w:rFonts w:ascii="Times New Roman" w:hAnsi="Times New Roman" w:cs="Times New Roman" w:eastAsia="Times New Roman"/>
                <w:b w:val="false"/>
                <w:sz w:val="26"/>
              </w:rPr>
              <w:t>10/2013/TTLT-BTTTT-BQP-BCA</w:t>
            </w:r>
          </w:p>
        </w:tc>
        <w:tc>
          <w:p/>
          <w:p>
            <w:pPr>
              <w:spacing w:after="0" w:before="0" w:lineRule="auto" w:line="276"/>
              <w:jc w:val="left"/>
            </w:pPr>
            <w:r>
              <w:rPr>
                <w:rFonts w:ascii="Times New Roman" w:hAnsi="Times New Roman" w:cs="Times New Roman" w:eastAsia="Times New Roman"/>
                <w:b w:val="false"/>
                <w:sz w:val="26"/>
              </w:rPr>
              <w:t>Thông tư liên tịch 10/2013/TTLT-BTTTT-BQP-BCA hướng dẫn cơ chế phối hợp xử lý nhiễu có hại giữa các đài vô tuyến điện phục vụ mục đích quốc phòng, an ninh và mục đích kinh tế - xã hội</w:t>
            </w:r>
          </w:p>
        </w:tc>
        <w:tc>
          <w:p/>
          <w:p>
            <w:pPr>
              <w:spacing w:after="0" w:before="0" w:lineRule="auto" w:line="276"/>
              <w:jc w:val="left"/>
            </w:pPr>
            <w:r>
              <w:rPr>
                <w:rFonts w:ascii="Times New Roman" w:hAnsi="Times New Roman" w:cs="Times New Roman" w:eastAsia="Times New Roman"/>
                <w:b w:val="false"/>
                <w:sz w:val="26"/>
              </w:rPr>
              <w:t>09-05-2013</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04/2024/TT-BTP</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06-06-2024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Hai bên nam, nữ cùng thường trú trên địa bàn cấp xã mà một hoặc cả hai bên nam, nữ là người khuyết tật, ốm bệnh không thể đi đăng ký kết hôn được.
- Nam từ đủ 20 tuổi trở lên, nữ từ đủ 18 tuổi trở lên;
- Việc kết hôn do nam và nữ tự nguyện quyết định;
- Không bị mất năng lực hành vi dân sự;
- Việc kết hôn không thuộc một trong các trường hợp cấm kết hôn, gồm:
+ Kết hôn giả tạo;
+ Tảo hôn, cưỡng ép kết hôn, lừa dối kết hôn, cản trở kết hôn;
+ Người đang có vợ, có chồng mà kết hôn với người khác hoặc chưa có vợ, chưa có chồng mà kết hôn với người đang có chồng, có vợ;
+ Kết hôn giữa những người cùng dòng máu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
* Nhà nước không thừa nhận hôn nhân giữa những người cùng giới tính.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https://thutuc.dichvucong.gov.vn/p/home/dvc-tthc-thu-tuc-hanh-chinh-chi-tiet.html?ma_thu_tuc=844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2025-11-27T16:22:52Z</dcterms:created>
  <dc:creator>Apache POI</dc:creator>
</cp:coreProperties>
</file>