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nghiệm thu kết quả thực hiện các dự án có sử dụng ngân sách nhà nước chi sự nghiệp khoa học và công nghệ thuộc Chương trình phát triển sản phẩm quốc gia đến năm 2020</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ba mươi (30) ngày kể từ thời điểm kết thúc hợp đồng thực hiện hoặc thời điểm được gia hạn hợp đồng (nếu có), Tổ chức chủ trì nhiệm vụ thuộc Dự án đầu tư sản phẩm quốc gia (sau đây gọi tắt là Tổ chức chủ trì nhiệm vụ) nộp Hồ sơ đánh giá nghiệm thu cho Đơn vị quản lý sản phẩm quốc gia</w:t>
      </w:r>
    </w:p>
    <w:p>
      <w:pPr>
        <w:spacing w:after="0" w:before="0" w:lineRule="auto" w:line="276"/>
        <w:jc w:val="both"/>
      </w:pPr>
      <w:r>
        <w:rPr>
          <w:rFonts w:ascii="Times New Roman" w:hAnsi="Times New Roman" w:cs="Times New Roman" w:eastAsia="Times New Roman"/>
          <w:b w:val="false"/>
          <w:sz w:val="26"/>
        </w:rPr>
        <w:t>Bước 2: Trong thời hạn năm (05) ngày làm việc kể từ ngày nhận hồ sơ, Đơn vị quản lý SPQG phải thông báo cho Tổ chức chủ trì Nhiệm vụ thuộc Dự án đầu tư SPQG tính hợp lệ của hồ sơ.
Trường hợp hồ sơ chưa đầy đủ và hợp lệ, Tổ chức chủ trì nhiệm vụ phải nộp bổ sung hồ sơ (nếu có, theo yêu cầu của Đơn vị quản lý sản phẩm quốc gia) trong thời hạn mười lăm (15) ngày làm việc. Trường hợp Tổ chức chủ trì nhiệm vụ không bổ sung được hồ sơ đầy đủ, hợp lệ trong thời gian này được coi là nộp hồ sơ chậm.
Thời gian nộp hồ sơ chậm làm căn cứ đánh giá nghiệm thu được tính từ thời điểm kết thúc hợp đồng thực hiện hoặc thời điểm được gia hạn hợp đồng (nếu có) đến khi Tổ chức chủ trì nhiệm vụ nộp hồ sơ đầy đủ, hợp lệ.
Đơn vị quản lý sản phẩm quốc gia có trách nhiệm kiểm tra tính đầy đủ, hợp lệ của hồ sơ và gửi giấy xác nhận cho Tổ chức chủ trì nhiệm vụ.</w:t>
      </w:r>
    </w:p>
    <w:p>
      <w:pPr>
        <w:spacing w:after="0" w:before="0" w:lineRule="auto" w:line="276"/>
        <w:jc w:val="both"/>
      </w:pPr>
      <w:r>
        <w:rPr>
          <w:rFonts w:ascii="Times New Roman" w:hAnsi="Times New Roman" w:cs="Times New Roman" w:eastAsia="Times New Roman"/>
          <w:b w:val="false"/>
          <w:sz w:val="26"/>
        </w:rPr>
        <w:t>Bước 3: Trong thời hạn năm (05) ngày làm việc kể từ ngày nhận được hồ sơ đầy đủ và hợp lệ, Đơn vị quản lý sản phẩm quốc gia thực hiện việc đăng tải thông tin liên quan đến việc đánh giá nghiệm thu kết quả thực hiện nhiệm vụ (trừ các nhiệm vụ liên quan tới quốc phòng - an ninh) trên Cổng thông tin điện tử của Cơ quan chủ quản sản phẩm quốc gia trong thời hạn năm (05) ngày làm việc sau khi tiếp nhận hồ sơ đầy đủ và hợp lệ. Thời gian công bố thông tin là ba mươi (30) ngày</w:t>
      </w:r>
    </w:p>
    <w:p>
      <w:pPr>
        <w:spacing w:after="0" w:before="0" w:lineRule="auto" w:line="276"/>
        <w:jc w:val="both"/>
      </w:pPr>
      <w:r>
        <w:rPr>
          <w:rFonts w:ascii="Times New Roman" w:hAnsi="Times New Roman" w:cs="Times New Roman" w:eastAsia="Times New Roman"/>
          <w:b w:val="false"/>
          <w:sz w:val="26"/>
        </w:rPr>
        <w:t>Bước 4: Trong thời hạn mười lăm (15) ngày làm việc kể từ ngày nhận được hồ sơ hợp lệ, Thủ trưởng Cơ quan chủ quản sản phẩm quốc gia quyết định thành lập Hội đồng và Tổ chuyên gia tư vấn đánh giá nghiệm thu kết quả thực hiện Nhiệm vụ thuộc Dự án đầu tư sản phẩm quốc gia; tổ chức phiên họp phiên đầu tiên không quá ba mươi (30) ngày làm việc kể từ ngày ký Quyết định thành lập Hội đồng</w:t>
      </w:r>
    </w:p>
    <w:p>
      <w:pPr>
        <w:spacing w:after="0" w:before="0" w:lineRule="auto" w:line="276"/>
        <w:jc w:val="both"/>
      </w:pPr>
      <w:r>
        <w:rPr>
          <w:rFonts w:ascii="Times New Roman" w:hAnsi="Times New Roman" w:cs="Times New Roman" w:eastAsia="Times New Roman"/>
          <w:b w:val="false"/>
          <w:sz w:val="26"/>
        </w:rPr>
        <w:t>Bước 5: Trong thời hạn hai (02) ngày làm việc sau khi kết thúc phiên họp của Hội đồng, Đơn vị quản lý sản phẩm quốc gia có trách nhiệm gửi ý kiến kết luận của Hội đồng cho Tổ chức chủ trì nhiệm vụ trong để làm căn cứ cho việc bổ sung, hoàn thiện hồ sơ.</w:t>
      </w:r>
    </w:p>
    <w:p>
      <w:pPr>
        <w:spacing w:after="0" w:before="0" w:lineRule="auto" w:line="276"/>
        <w:jc w:val="both"/>
      </w:pPr>
      <w:r>
        <w:rPr>
          <w:rFonts w:ascii="Times New Roman" w:hAnsi="Times New Roman" w:cs="Times New Roman" w:eastAsia="Times New Roman"/>
          <w:b w:val="false"/>
          <w:sz w:val="26"/>
        </w:rPr>
        <w:t>Bước 6: Trong thời hạn mười lăm (15) ngày làm việc kể từ khi nhận được Báo cáo về việc hoàn thiện Hồ sơ đánh giá nghiệm thu của Tổ chức chủ trì nhiệm vụ, Thủ trưởng Cơ quan chủ quản sản phẩm quốc gia có trách nhiệm xem xét ban hành quyết định công nhận kết quả thực hiện nhiệm vụ.</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120 ngày kể từ thời điểm kết thúc hợp đồng thực hiện hoặc thời điểm được gia hạn hợp đồng (nếu có)</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120 ngày kể từ thời điểm kết thúc hợp đồng thực hiện hoặc thời điểm được gia hạn hợp đồng (nếu có)</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đánh giá nghiệm thu kết quả thực hiện Nhiệm vụ thuộc Dự án đầu tư sản phẩm quốc gia của Tổ chức chủ trì.</w:t>
            </w:r>
          </w:p>
        </w:tc>
        <w:tc>
          <w:p/>
          <w:p>
            <w:pPr>
              <w:spacing w:after="0" w:before="0" w:lineRule="auto" w:line="276"/>
              <w:jc w:val="left"/>
            </w:pPr>
            <w:r>
              <w:rPr>
                <w:rFonts w:ascii="Times New Roman" w:hAnsi="Times New Roman" w:cs="Times New Roman" w:eastAsia="Times New Roman"/>
                <w:b w:val="false"/>
                <w:sz w:val="26"/>
              </w:rPr>
              <w:t>Mẫu 1-CV-NTDAĐT.doc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tổng kết quá trình thực hiện các nội dung nhằm thu được sản phẩm theo như hợp đồng đã ký kết và Báo cáo tóm tắt kết quả thực hiện Nhiệm vụ thuộc Dự án đầu tư sản phẩm quốc gia.</w:t>
            </w:r>
          </w:p>
        </w:tc>
        <w:tc>
          <w:p/>
          <w:p>
            <w:pPr>
              <w:spacing w:after="0" w:before="0" w:lineRule="auto" w:line="276"/>
              <w:jc w:val="left"/>
            </w:pPr>
            <w:r>
              <w:rPr>
                <w:rFonts w:ascii="Times New Roman" w:hAnsi="Times New Roman" w:cs="Times New Roman" w:eastAsia="Times New Roman"/>
                <w:b w:val="false"/>
                <w:sz w:val="26"/>
              </w:rPr>
              <w:t>Mẫu 10-CNKQ.doc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về các sản phẩm của Nhiệm vụ thuộc Dự án đầu tư sản phẩm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và thuyết minh của Nhiệm vụ thuộc Dự án đầu tư sản phẩm quốc gia và Thuyết minh của Dự án đầu tư sản phẩm quốc gia đã được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tình hình sử dụng kinh phí của Nhiệm vụ thuộc Dự án đầu tư sản phẩm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nhận xét kết quả thực hiện Nhiệm vụ thuộc Dự án đầu tư sản phẩm quốc gia của Tổ chức chủ trì Dự án đầu tư sản phẩm quốc gia.</w:t>
            </w:r>
          </w:p>
        </w:tc>
        <w:tc>
          <w:p/>
          <w:p>
            <w:pPr>
              <w:spacing w:after="0" w:before="0" w:lineRule="auto" w:line="276"/>
              <w:jc w:val="left"/>
            </w:pPr>
            <w:r>
              <w:rPr>
                <w:rFonts w:ascii="Times New Roman" w:hAnsi="Times New Roman" w:cs="Times New Roman" w:eastAsia="Times New Roman"/>
                <w:b w:val="false"/>
                <w:sz w:val="26"/>
              </w:rPr>
              <w:t>Mẫu 2-BCNX.doc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(nếu có).</w:t>
            </w:r>
          </w:p>
        </w:tc>
        <w:tc>
          <w:p/>
          <w:p>
            <w:pPr>
              <w:spacing w:after="0" w:before="0" w:lineRule="auto" w:line="276"/>
              <w:jc w:val="left"/>
            </w:pPr>
            <w:r>
              <w:rPr>
                <w:rFonts w:ascii="Times New Roman" w:hAnsi="Times New Roman" w:cs="Times New Roman" w:eastAsia="Times New Roman"/>
                <w:b w:val="false"/>
                <w:sz w:val="26"/>
              </w:rPr>
              <w:t>Mẫu 3-GXN.doc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Khoa học và Công nghệ các ngành kinh tế - kỹ thuật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đánh giá kết quả thực hiện Nhiệm vụ thuộc Dự án đầu tư SPQG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07/2015/TT-BKHCN</w:t>
            </w:r>
          </w:p>
        </w:tc>
        <w:tc>
          <w:p/>
          <w:p>
            <w:pPr>
              <w:spacing w:after="0" w:before="0" w:lineRule="auto" w:line="276"/>
              <w:jc w:val="left"/>
            </w:pPr>
            <w:r>
              <w:rPr>
                <w:rFonts w:ascii="Times New Roman" w:hAnsi="Times New Roman" w:cs="Times New Roman" w:eastAsia="Times New Roman"/>
                <w:b w:val="false"/>
                <w:sz w:val="26"/>
              </w:rPr>
              <w:t>Thông tư 07/2015/TT-BKHCN</w:t>
            </w:r>
          </w:p>
        </w:tc>
        <w:tc>
          <w:p/>
          <w:p>
            <w:pPr>
              <w:spacing w:after="0" w:before="0" w:lineRule="auto" w:line="276"/>
              <w:jc w:val="left"/>
            </w:pPr>
            <w:r>
              <w:rPr>
                <w:rFonts w:ascii="Times New Roman" w:hAnsi="Times New Roman" w:cs="Times New Roman" w:eastAsia="Times New Roman"/>
                <w:b w:val="false"/>
                <w:sz w:val="26"/>
              </w:rPr>
              <w:t>15-04-2015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Đánh giá nghiệm thu kết quả thực hiện các dự án có sử dụng ngân sách nhà nước chi sự nghiệp khoa học và công nghệ thuộc Chương trình phát triển sản phẩm quốc gia đến năm 2020</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2025-11-27T16:22:58Z</dcterms:created>
  <dc:creator>Apache POI</dc:creator>
</cp:coreProperties>
</file>