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1139/QĐ-NHNN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tự nguyện chấm dứt hoạt động, giải thể chi nhánh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hợp tác xã lập 01 bộ hồ sơ theo quy định gửi Ngân hàng Nhà nước (qua Cục Quản lý, giám sát tổ chức tín dụng) đề nghị chấm dứt hoạt động, giải thể chi nhánh.</w:t>
      </w:r>
    </w:p>
    <w:p>
      <w:pPr>
        <w:spacing w:after="0" w:before="0" w:lineRule="auto" w:line="276"/>
        <w:jc w:val="both"/>
      </w:pPr>
      <w:r>
        <w:rPr>
          <w:rFonts w:ascii="Times New Roman" w:hAnsi="Times New Roman" w:cs="Times New Roman" w:eastAsia="Times New Roman"/>
          <w:b w:val="false"/>
          <w:sz w:val="26"/>
        </w:rPr>
        <w:t>Bước 2: Trong thời hạn 30 ngày làm việc kể từ ngày nhận được đầy đủ hồ sơ theo quy định, Ngân hàng Nhà nước có văn bản chấp thuận hoặc không chấp thuận đề nghị của ngân hàng hợp tác xã; trường hợp không chấp thuận,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ngân hàng hợp tác xã đề nghị chấm dứt hoạt động, giải thể chi nhánh, trong đó nêu rõ: lý do chấm dứt hoạt động, giải thể; tên, địa chỉ của chi nhánh chấm dứt hoạt động, giải thể và cam kết giải quyết các tài sản, quyền, nghĩa vụ và các lợi ích liên quan của chi nhánh chấm dứt hoạt động, giải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Đại hội thành viên hoặc Nghị quyết của Hội đồng quản trị ngân hàng hợp tác xã theo quy định tại Điều lệ về việc chấm dứt hoạt động, giải thể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chấm dứt hoạt động, giải thể chi nhánh của ngân hàng hợp tác xã, Văn bản không chấp thuận đề nghị chấm dứt hoạt động, giải thể chi nhánh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là hợp tác xã</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các tổ chức tín dụng</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2025-11-27T16:23:00Z</dcterms:created>
  <dc:creator>Apache POI</dc:creator>
</cp:coreProperties>
</file>