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kinh doanh mua, bán vàng miếng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tổ chức tín dụng lập hồ sơ đề nghị cấp Giấy phép kinh doanh mua, bán vàng miếng theo quy định gửi Ngân hàng Nhà nước.
- Bước 2: Sau khi nhận được đầy đủ hồ sơ của doanh nghiệp, tổ chức tín dụng, Ngân hàng Nhà nước Việt Nam thông báo để Ngân hàng Nhà nước chi nhánh Khu vực trên địa bàn kiểm tra về giấy tờ pháp lý chứng minh quyền sở hữu hoặc quyền sử dụng hợp pháp địa điểm kinh doanh (đối với doanh nghiệp) và tình hình trang thiết bị cần thiết để triển khai hoạt động mua, bán vàng miếng tại địa điểm đăng ký làm địa điểm kinh doanh mua, bán vàng miếng. Trong thời hạn 7 (bảy) ngày làm việc kể từ ngày nhận được thông báo của Ngân hàng Nhà nước Việt Nam, Ngân hàng Nhà nước chi nhánh Khu vực báo cáo kết quả cho Ngân hàng Nhà nước Việt Nam (Cục Quản lý ngoại hối).
- Bước 3: Trong thời hạn 20 (hai mươi) ngày làm việc kể từ ngày nhận đủ hồ sơ hợp lệ theo quy định tại Điều 4 Thông tư số 34/2025/TT-NHNN, Ngân hàng Nhà nước Việt Nam xem xét cấp hoặc từ chối cấp (ghi rõ lý do) Giấy phép kinh doanh mua, bán vàng miếng theo mẫu tại Phụ lục số 15 ban hành kèm theo Thông tư số 34/2025/TT-NHNN.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kinh doanh mua, bán vàng miếng theo mẫu tại Phụ lục số 02 ban hành kèm theo Thông tư số 34/2025/TT-NHNN.</w:t>
            </w:r>
          </w:p>
        </w:tc>
        <w:tc>
          <w:p/>
          <w:p>
            <w:pPr>
              <w:spacing w:after="0" w:before="0" w:lineRule="auto" w:line="276"/>
              <w:jc w:val="left"/>
            </w:pPr>
            <w:r>
              <w:rPr>
                <w:rFonts w:ascii="Times New Roman" w:hAnsi="Times New Roman" w:cs="Times New Roman" w:eastAsia="Times New Roman"/>
                <w:b w:val="false"/>
                <w:sz w:val="26"/>
              </w:rPr>
              <w:t>Phulucso02.docx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Danh sách các địa điểm đăng ký làm địa điểm kinh doanh mua, bán vàng miếng (trụ sở chính, chi nhánh, địa điểm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Giấy chứng nhận đăng ký hoạt động chi nhánh (đối với doanh nghiệp); văn bản thể hiện địa điểm đăng ký làm địa điểm kinh doanh mua, bán vàng miếng theo danh sách tại khoản 2 Điều 4 Thông tư số 34/2025/TT-NHNN đã được thông báo tới cơ quan đăng ký kinh doanh có thẩm quyền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Xác nhận của cơ quan thuế về số thuế đã nộp của hoạt động kinh doanh vàng trong 2 (hai) năm liền kề trước đó đối với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mua, bán vàng miếng.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24/2012/NĐ-CP</w:t>
            </w:r>
          </w:p>
        </w:tc>
        <w:tc>
          <w:p/>
          <w:p>
            <w:pPr>
              <w:spacing w:after="0" w:before="0" w:lineRule="auto" w:line="276"/>
              <w:jc w:val="left"/>
            </w:pPr>
            <w:r>
              <w:rPr>
                <w:rFonts w:ascii="Times New Roman" w:hAnsi="Times New Roman" w:cs="Times New Roman" w:eastAsia="Times New Roman"/>
                <w:b w:val="false"/>
                <w:sz w:val="26"/>
              </w:rPr>
              <w:t>Về quản lý hoạt động kinh doanh vàng</w:t>
            </w:r>
          </w:p>
        </w:tc>
        <w:tc>
          <w:p/>
          <w:p>
            <w:pPr>
              <w:spacing w:after="0" w:before="0" w:lineRule="auto" w:line="276"/>
              <w:jc w:val="left"/>
            </w:pPr>
            <w:r>
              <w:rPr>
                <w:rFonts w:ascii="Times New Roman" w:hAnsi="Times New Roman" w:cs="Times New Roman" w:eastAsia="Times New Roman"/>
                <w:b w:val="false"/>
                <w:sz w:val="26"/>
              </w:rPr>
              <w:t>03-04-2012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46/2010/QH12</w:t>
            </w:r>
          </w:p>
        </w:tc>
        <w:tc>
          <w:p/>
          <w:p>
            <w:pPr>
              <w:spacing w:after="0" w:before="0" w:lineRule="auto" w:line="276"/>
              <w:jc w:val="left"/>
            </w:pPr>
            <w:r>
              <w:rPr>
                <w:rFonts w:ascii="Times New Roman" w:hAnsi="Times New Roman" w:cs="Times New Roman" w:eastAsia="Times New Roman"/>
                <w:b w:val="false"/>
                <w:sz w:val="26"/>
              </w:rPr>
              <w:t>Luật Luật Ngân hàng Nhà nước</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34/2025/TT-NHNN</w:t>
            </w:r>
          </w:p>
        </w:tc>
        <w:tc>
          <w:p/>
          <w:p>
            <w:pPr>
              <w:spacing w:after="0" w:before="0" w:lineRule="auto" w:line="276"/>
              <w:jc w:val="left"/>
            </w:pPr>
            <w:r>
              <w:rPr>
                <w:rFonts w:ascii="Times New Roman" w:hAnsi="Times New Roman" w:cs="Times New Roman" w:eastAsia="Times New Roman"/>
                <w:b w:val="false"/>
                <w:sz w:val="26"/>
              </w:rPr>
              <w:t>Thông tư hướng dẫn một số điều của Nghị định số 24/2012/NĐ-CP ngày 03 tháng 4 năm 2012 của Chính phủ về quản lý hoạt động  kinh doanh vàng được sửa đổi, bổ sung bởi Nghị định số 232/2025/NĐ-CP</w:t>
            </w:r>
          </w:p>
        </w:tc>
        <w:tc>
          <w:p/>
          <w:p>
            <w:pPr>
              <w:spacing w:after="0" w:before="0" w:lineRule="auto" w:line="276"/>
              <w:jc w:val="left"/>
            </w:pPr>
            <w:r>
              <w:rPr>
                <w:rFonts w:ascii="Times New Roman" w:hAnsi="Times New Roman" w:cs="Times New Roman" w:eastAsia="Times New Roman"/>
                <w:b w:val="false"/>
                <w:sz w:val="26"/>
              </w:rPr>
              <w:t>09-10-2025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232/2025/NĐ-CP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24/2012/NĐ-CP ngày 03 tháng 4 năm 2012 của Chính phủ về quản lý hoạt động kinh doanh vàng.</w:t>
            </w:r>
          </w:p>
        </w:tc>
        <w:tc>
          <w:p/>
          <w:p>
            <w:pPr>
              <w:spacing w:after="0" w:before="0" w:lineRule="auto" w:line="276"/>
              <w:jc w:val="left"/>
            </w:pPr>
            <w:r>
              <w:rPr>
                <w:rFonts w:ascii="Times New Roman" w:hAnsi="Times New Roman" w:cs="Times New Roman" w:eastAsia="Times New Roman"/>
                <w:b w:val="false"/>
                <w:sz w:val="26"/>
              </w:rPr>
              <w:t>26-08-2025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Doanh nghiệp được Ngân hàng Nhà nước xem xét cấp Giấy phép kinh doanh mua, bán vàng miếng khi đáp ứng đủ các điều kiện sau:
a) Là doanh nghiệp thành lập và hoạt động theo quy định của pháp luật.
b) Có vốn điều lệ từ 100 (một trăm) tỷ đồng trở lên.
c) Có kinh nghiệm hoạt động trong lĩnh vực kinh doanh mua, bán vàng từ 2 (hai) năm trở lên.
d) Có số thuế đã nộp của hoạt động kinh doanh vàng từ 500 (năm trăm) triệu đồng/năm trở lên trong 2 (hai) năm liên tiếp gần nhất (có xác nhận của cơ quan thuế).
đ) Có mạng lưới chi nhánh, địa điểm bán hàng tại Việt Nam từ 3 (ba) tỉnh, thành phố trực thuộc Trung ương trở lên.
2. Tổ chức tín dụng được Ngân hàng Nhà nước xem xét cấp Giấy phép kinh doanh mua, bán vàng miếng khi đáp ứng đủ các điều kiện sau:
a) Có vốn điều lệ từ 3.000 (ba nghìn) tỷ đồng trở lên.
b) Có đăng ký hoạt động kinh doanh vàng.
c) Có mạng lưới chi nhánh tại Việt Nam từ 5 (năm) tỉnh, thành phố trực thuộc Trung ương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2025-11-27T16:23:14Z</dcterms:created>
  <dc:creator>Apache POI</dc:creator>
</cp:coreProperties>
</file>