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1139/QĐ-NHNN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thành lập văn phòng đại diện, đơn vị sự nghiệp ở trong nước, văn phòng đại diện ở nước ngoài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01 bộ hồ sơ theo quy định đề nghị chấp thuận thành lập văn phòng đại diện, đơn vị sự nghiệp ở trong nước, văn phòng đại diện ở nước ngoài gửi Ngân hàng Nhà nước.</w:t>
      </w:r>
    </w:p>
    <w:p>
      <w:pPr>
        <w:spacing w:after="0" w:before="0" w:lineRule="auto" w:line="276"/>
        <w:jc w:val="both"/>
      </w:pPr>
      <w:r>
        <w:rPr>
          <w:rFonts w:ascii="Times New Roman" w:hAnsi="Times New Roman" w:cs="Times New Roman" w:eastAsia="Times New Roman"/>
          <w:b w:val="false"/>
          <w:sz w:val="26"/>
        </w:rPr>
        <w:t>Bước 2: Trong thời hạn 15 ngày làm việc kể từ ngày nhận đủ hồ sơ, Cơ quan Thanh tra, giám sát ngân hàng trình Thống đốc Ngân hàng Nhà nước có văn bản chấp thuận hoặc không chấp thuận việc ngân hàng hợp tác xã thành lập văn phòng đại diện, đơn vị sự nghiệp ở trong nước, văn phòng đại diện ở nước ngoài.</w:t>
      </w:r>
    </w:p>
    <w:p>
      <w:pPr>
        <w:spacing w:after="0" w:before="0" w:lineRule="auto" w:line="276"/>
        <w:jc w:val="both"/>
      </w:pPr>
      <w:r>
        <w:rPr>
          <w:rFonts w:ascii="Times New Roman" w:hAnsi="Times New Roman" w:cs="Times New Roman" w:eastAsia="Times New Roman"/>
          <w:b w:val="false"/>
          <w:sz w:val="26"/>
        </w:rPr>
        <w:t>Bước 3: Trong thời hạn 30 ngày làm việc kể từ ngày nhận đủ hồ sơ của ngân hàng hợp tác xã đề nghị thành lập văn phòng đại diện, đơn vị sự nghiệp ở trong nước, văn phòng đại diện ở nước ngoài, Ngân hàng Nhà nước có văn bản chấp thuận hoặc không chấp thuận việc ngân hàng hợp tác xã thành lập văn phòng đại diện, đơn vị sự nghiệp ở trong nước, văn phòng đại diện ở nước ngoài;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Ngân hàng Nhà nước chấp thuận thành lập văn phòng đại diện, đơn vị sự nghiệp theo mẫu Phụ lục 01 ban hành kèm theo Thông tư 09/2018/TT-NHNN ngày 30/3/2018.</w:t>
            </w:r>
          </w:p>
        </w:tc>
        <w:tc>
          <w:p/>
          <w:p>
            <w:pPr>
              <w:spacing w:after="0" w:before="0" w:lineRule="auto" w:line="276"/>
              <w:jc w:val="left"/>
            </w:pPr>
            <w:r>
              <w:rPr>
                <w:rFonts w:ascii="Times New Roman" w:hAnsi="Times New Roman" w:cs="Times New Roman" w:eastAsia="Times New Roman"/>
                <w:b w:val="false"/>
                <w:sz w:val="26"/>
              </w:rPr>
              <w:t>Phuluc1.docx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Đại hội thành viên hoặc Nghị quyết của Hội đồng quản trị theo quy định tại Điều lệ của ngân hàng hợp tác xã về việc thành lập văn phòng đại diện, đơn vị sự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có tối thiểu các nội dung sau: a) Đối với việc thành lập đơn vị sự nghiệp, văn phòng đại diện ở trong nước: - Tên đầy đủ bằng tiếng Việt, tên viết tắt bằng tiếng Việt, địa chỉ, nội dung hoạt động; - Lý do, nhu cầu thành lập; - Dự kiến nhân sự chủ chốt (Giám đốc, Phó Giám đốc, Trưởng các bộ phận chuyên môn hoặc chức danh tương đương); - Kế hoạch hoạt động dự kiến trong 03 năm đầu; b) Đối với việc thành lập văn phòng đại diện ở nước ngoài: - Tên đầy đủ bằng tiếng Việt và bằng tiếng nước ngoài, tên viết tắt bằng tiếng Việt và bằng tiếng nước ngoài (nếu có); - Địa điểm: tên quốc gia và địa chỉ cụ thể (nếu có); - Lý do, nhu cầu thành lập và lý do lựa chọn nước nơi đặt trụ sở văn phòng đại diện; - Thông tin pháp lý có liên quan: Liệt kê các quy định có liên quan của nước nơi đặt trụ sở văn phòng đại diện về việc cho phép tổ chức tín dụng nước ngoài thành lập văn phòng đại diện (tên, số hiệu, ngày tháng của văn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ngân hàng hợp tác xã thành lập văn phòng đại diện, đơn vị sự nghiệp ở trong nước, văn phòng đại diện ở nước ngoài, Văn bản không chấp thuận việc ngân hàng hợp tác xã thành lập văn phòng đại diện, đơn vị sự nghiệp ở trong nước, văn phòng đại diện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Thực hiện đúng các quy định về phân loại nợ, trích lập dự phòng rủi ro theo quy định của Ngân hàng Nhà nước tại thời điểm 31 tháng 12 của năm trước năm đề nghị và tại thời điểm gần nhất thời điểm đề nghị; tỷ lệ nợ xấu so với tổng dư nợ tại thời điểm 31 tháng 12 của năm trước năm đề nghị và tại thời điểm đề nghị không vượt quá 3% hoặc một tỷ lệ khác theo quyết định của Thống đốc Ngân hàng Nhà nước trong từng thời kỳ.
2. Tại thời điểm đề nghị, Hội đồng quản trị, Ban kiểm soát có số lượng và cơ cấu theo đúng quy định của pháp luật, không bị khuyết Tổng Giám đốc.
3. Tại thời điểm đề nghị, ngân hàng hợp tác xã có kiểm toán nội bộ và hệ thống kiểm soát nội bộ bảo đảm tuân thủ quy định tại Luật Các tổ chức tín dụng và các quy định của pháp luật có liên quan.
4. Có quy chế về quản lý mạng lưới.
5. Không thuộc đối tượng bị áp dụng biện pháp không được mở rộng mạng lưới theo quy định của pháp luật về xử lý sau thanh tra, giám sát đối với các tổ chức tín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2025-11-27T16:23:24Z</dcterms:created>
  <dc:creator>Apache POI</dc:creator>
</cp:coreProperties>
</file>