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1853/QĐ-BTP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hoạt động của Trung tâm tư vấn pháp luật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Tư vấn pháp luật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chủ quản ra Quyết định thành lập Trung tâm tư vấn pháp luật. Quyết định thành lập Trung tâm tư vấn pháp luật do người đứng đầu của tổ chức chủ quản ký.</w:t>
      </w:r>
    </w:p>
    <w:p>
      <w:pPr>
        <w:spacing w:after="0" w:before="0" w:lineRule="auto" w:line="276"/>
        <w:jc w:val="both"/>
      </w:pPr>
      <w:r>
        <w:rPr>
          <w:rFonts w:ascii="Times New Roman" w:hAnsi="Times New Roman" w:cs="Times New Roman" w:eastAsia="Times New Roman"/>
          <w:b w:val="false"/>
          <w:sz w:val="26"/>
        </w:rPr>
        <w:t>-Trung tâm tư vấn pháp luật đăng ký hoạt động tại Sở Tư pháp, nơi đặt trụ sở của Trung tâm.</w:t>
      </w:r>
    </w:p>
    <w:p>
      <w:pPr>
        <w:spacing w:after="0" w:before="0" w:lineRule="auto" w:line="276"/>
        <w:jc w:val="both"/>
      </w:pPr>
      <w:r>
        <w:rPr>
          <w:rFonts w:ascii="Times New Roman" w:hAnsi="Times New Roman" w:cs="Times New Roman" w:eastAsia="Times New Roman"/>
          <w:b w:val="false"/>
          <w:sz w:val="26"/>
        </w:rPr>
        <w:t>-Trong thời hạn năm ngày làm việc, kể từ ngày nhận đủ hồ sơ hợp lệ, Sở Tư pháp có trách nhiệm cấp Giấy đăng ký hoạt động cho Trung tâm tư vấn pháp luật; trong trường hợp từ chối, phải thông báo lý do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năm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năm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năm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Quyết định của tổ chức chủ quản về việc thành lập Trung tâm tư vấn pháp luật; về việc cử Giám đốc của Trung tâm tư vấn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tổ chức, hoạt động của Trung tâm tư vấn do tổ chức chủ quản ban hành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kèm theo hồ sơ của người được đề nghị cấp Thẻ tư vấn viên pháp luật, của luật sư làm việc theo hợp đồng lao động cho Trung tâm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đăng ký hoạt động</w:t>
            </w:r>
          </w:p>
        </w:tc>
        <w:tc>
          <w:p/>
          <w:p>
            <w:pPr>
              <w:spacing w:after="0" w:before="0" w:lineRule="auto" w:line="276"/>
              <w:jc w:val="left"/>
            </w:pPr>
            <w:r>
              <w:rPr>
                <w:rFonts w:ascii="Times New Roman" w:hAnsi="Times New Roman" w:cs="Times New Roman" w:eastAsia="Times New Roman"/>
                <w:b w:val="false"/>
                <w:sz w:val="26"/>
              </w:rPr>
              <w:t>MauTP-TVPL-01-s.docx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Giấy đăng ký hoạt động của Trung tâm tư vấn pháp luật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01/2010/TT-BTP</w:t>
            </w:r>
          </w:p>
        </w:tc>
        <w:tc>
          <w:p/>
          <w:p>
            <w:pPr>
              <w:spacing w:after="0" w:before="0" w:lineRule="auto" w:line="276"/>
              <w:jc w:val="left"/>
            </w:pPr>
            <w:r>
              <w:rPr>
                <w:rFonts w:ascii="Times New Roman" w:hAnsi="Times New Roman" w:cs="Times New Roman" w:eastAsia="Times New Roman"/>
                <w:b w:val="false"/>
                <w:sz w:val="26"/>
              </w:rPr>
              <w:t>Thông tư 01/2010/TT-BTP</w:t>
            </w:r>
          </w:p>
        </w:tc>
        <w:tc>
          <w:p/>
          <w:p>
            <w:pPr>
              <w:spacing w:after="0" w:before="0" w:lineRule="auto" w:line="276"/>
              <w:jc w:val="left"/>
            </w:pPr>
            <w:r>
              <w:rPr>
                <w:rFonts w:ascii="Times New Roman" w:hAnsi="Times New Roman" w:cs="Times New Roman" w:eastAsia="Times New Roman"/>
                <w:b w:val="false"/>
                <w:sz w:val="26"/>
              </w:rPr>
              <w:t>09-02-2010</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77/2008/NĐ-CP</w:t>
            </w:r>
          </w:p>
        </w:tc>
        <w:tc>
          <w:p/>
          <w:p>
            <w:pPr>
              <w:spacing w:after="0" w:before="0" w:lineRule="auto" w:line="276"/>
              <w:jc w:val="left"/>
            </w:pPr>
            <w:r>
              <w:rPr>
                <w:rFonts w:ascii="Times New Roman" w:hAnsi="Times New Roman" w:cs="Times New Roman" w:eastAsia="Times New Roman"/>
                <w:b w:val="false"/>
                <w:sz w:val="26"/>
              </w:rPr>
              <w:t>Nghị định 77/2008/NĐ-CP</w:t>
            </w:r>
          </w:p>
        </w:tc>
        <w:tc>
          <w:p/>
          <w:p>
            <w:pPr>
              <w:spacing w:after="0" w:before="0" w:lineRule="auto" w:line="276"/>
              <w:jc w:val="left"/>
            </w:pPr>
            <w:r>
              <w:rPr>
                <w:rFonts w:ascii="Times New Roman" w:hAnsi="Times New Roman" w:cs="Times New Roman" w:eastAsia="Times New Roman"/>
                <w:b w:val="false"/>
                <w:sz w:val="26"/>
              </w:rPr>
              <w:t>16-07-2008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05/2012/NĐ-CP</w:t>
            </w:r>
          </w:p>
        </w:tc>
        <w:tc>
          <w:p/>
          <w:p>
            <w:pPr>
              <w:spacing w:after="0" w:before="0" w:lineRule="auto" w:line="276"/>
              <w:jc w:val="left"/>
            </w:pPr>
            <w:r>
              <w:rPr>
                <w:rFonts w:ascii="Times New Roman" w:hAnsi="Times New Roman" w:cs="Times New Roman" w:eastAsia="Times New Roman"/>
                <w:b w:val="false"/>
                <w:sz w:val="26"/>
              </w:rPr>
              <w:t>Nghị định 05/2012/NĐ-CP</w:t>
            </w:r>
          </w:p>
        </w:tc>
        <w:tc>
          <w:p/>
          <w:p>
            <w:pPr>
              <w:spacing w:after="0" w:before="0" w:lineRule="auto" w:line="276"/>
              <w:jc w:val="left"/>
            </w:pPr>
            <w:r>
              <w:rPr>
                <w:rFonts w:ascii="Times New Roman" w:hAnsi="Times New Roman" w:cs="Times New Roman" w:eastAsia="Times New Roman"/>
                <w:b w:val="false"/>
                <w:sz w:val="26"/>
              </w:rPr>
              <w:t>02-02-2012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19/2011/TT-BTP</w:t>
            </w:r>
          </w:p>
        </w:tc>
        <w:tc>
          <w:p/>
          <w:p>
            <w:pPr>
              <w:spacing w:after="0" w:before="0" w:lineRule="auto" w:line="276"/>
              <w:jc w:val="left"/>
            </w:pPr>
            <w:r>
              <w:rPr>
                <w:rFonts w:ascii="Times New Roman" w:hAnsi="Times New Roman" w:cs="Times New Roman" w:eastAsia="Times New Roman"/>
                <w:b w:val="false"/>
                <w:sz w:val="26"/>
              </w:rPr>
              <w:t>Thông tư 19/2011/TT-BTP</w:t>
            </w:r>
          </w:p>
        </w:tc>
        <w:tc>
          <w:p/>
          <w:p>
            <w:pPr>
              <w:spacing w:after="0" w:before="0" w:lineRule="auto" w:line="276"/>
              <w:jc w:val="left"/>
            </w:pPr>
            <w:r>
              <w:rPr>
                <w:rFonts w:ascii="Times New Roman" w:hAnsi="Times New Roman" w:cs="Times New Roman" w:eastAsia="Times New Roman"/>
                <w:b w:val="false"/>
                <w:sz w:val="26"/>
              </w:rPr>
              <w:t>31-10-2011</w:t>
            </w:r>
          </w:p>
        </w:tc>
        <w:tc>
          <w:p/>
        </w:tc>
      </w:tr>
      <w:tr>
        <w:tc>
          <w:p/>
          <w:p>
            <w:pPr>
              <w:spacing w:after="0" w:before="0" w:lineRule="auto" w:line="276"/>
              <w:jc w:val="left"/>
            </w:pPr>
            <w:r>
              <w:rPr>
                <w:rFonts w:ascii="Times New Roman" w:hAnsi="Times New Roman" w:cs="Times New Roman" w:eastAsia="Times New Roman"/>
                <w:b w:val="false"/>
                <w:sz w:val="26"/>
              </w:rPr>
              <w:t>03/2024/TT-BTP</w:t>
            </w:r>
          </w:p>
        </w:tc>
        <w:tc>
          <w:p/>
          <w:p>
            <w:pPr>
              <w:spacing w:after="0" w:before="0" w:lineRule="auto" w:line="276"/>
              <w:jc w:val="left"/>
            </w:pPr>
            <w:r>
              <w:rPr>
                <w:rFonts w:ascii="Times New Roman" w:hAnsi="Times New Roman" w:cs="Times New Roman" w:eastAsia="Times New Roman"/>
                <w:b w:val="false"/>
                <w:sz w:val="26"/>
              </w:rPr>
              <w:t>Thông tư số 03/2024/TT-BTP ngày 15/5/2024 của Bộ trưởng Bộ Tư pháp sửa đổi, bổ sung 08 thông tư liên quan đến thủ tục hành chính trong lĩnh vực bổ trợ tư pháp.</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https://thutuc.dichvucong.gov.vn/p/home/dvc-tthc-thu-tuc-hanh-chinh-chi-tiet.html?ma_thu_tuc=895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2025-11-27T16:23:26Z</dcterms:created>
  <dc:creator>Apache POI</dc:creator>
</cp:coreProperties>
</file>