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thẩm định nhiệm vụ thuộc dự án đầu tư sản xuất sản phẩm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chủ trì Dự án đầu tư SPQG lập hồ sơ thẩm định nhiệm vụ Dự án đầu tư SPQG gửi đến Đơn vị quản lý SPQG</w:t>
      </w:r>
    </w:p>
    <w:p>
      <w:pPr>
        <w:spacing w:after="0" w:before="0" w:lineRule="auto" w:line="276"/>
        <w:jc w:val="both"/>
      </w:pPr>
      <w:r>
        <w:rPr>
          <w:rFonts w:ascii="Times New Roman" w:hAnsi="Times New Roman" w:cs="Times New Roman" w:eastAsia="Times New Roman"/>
          <w:b w:val="false"/>
          <w:sz w:val="26"/>
        </w:rPr>
        <w:t>Bước 2: Đơn vị quản lý SPQG kiểm tra tính đầy đủ, hợp lệ của tài liệu do tổ chức chủ trì Dự án đầu tư SPQG cung cấp.
Trường hợp hồ sơ không đầy đủ, hợp lệ Đơn vị quản lý SPQG thông báo cho tổ chức chủ trì Dự án đầu tư SPQG biết nội dung yêu cầu bổ sung hoặc thay thế tài liệu của hồ sơ và quy định cụ thể thời hạn tiếp nhận.</w:t>
      </w:r>
    </w:p>
    <w:p>
      <w:pPr>
        <w:spacing w:after="0" w:before="0" w:lineRule="auto" w:line="276"/>
        <w:jc w:val="both"/>
      </w:pPr>
      <w:r>
        <w:rPr>
          <w:rFonts w:ascii="Times New Roman" w:hAnsi="Times New Roman" w:cs="Times New Roman" w:eastAsia="Times New Roman"/>
          <w:b w:val="false"/>
          <w:sz w:val="26"/>
        </w:rPr>
        <w:t>Bước 3: Đơn vị quản lý SPQG chuẩn bị tài liệu và chuyển hồ sơ thẩm định cho Vụ KH&amp;CN các ngành kinh tế - kỹ thuật của Bộ KH&amp;CN để lập hội đồng thẩm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chủ trì Dự án đầu tư SPQG nộp hồ sơ thẩm định đến đơn vị quản lý SPQG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chủ trì Dự án đầu tư SPQG nộp hồ sơ thẩm định đến đơn vị quản lý SPQG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có chứng thực của ít nhất một trong các văn bản: Quyết định thành lập, Giấy chứng nhận đăng ký hoạt động KH&amp;CN, văn bản đăng ký hoạt động sản xuất, kinh doanh của tổ chức chủ trì Dự án đầu tư SPQG;</w:t>
            </w:r>
          </w:p>
        </w:tc>
        <w:tc>
          <w:p/>
          <w:p>
            <w:pPr>
              <w:spacing w:after="0" w:before="0" w:lineRule="auto" w:line="276"/>
              <w:jc w:val="left"/>
            </w:pPr>
            <w:r>
              <w:rPr>
                <w:rFonts w:ascii="Times New Roman" w:hAnsi="Times New Roman" w:cs="Times New Roman" w:eastAsia="Times New Roman"/>
                <w:b w:val="false"/>
                <w:sz w:val="26"/>
              </w:rPr>
              <w:t>Mẫu A1.doc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Thuyết minh về Dự án đầu tư SPQG và bản chính các Thuyết minh nhiệm vụ thuộc Dự án đầu tư SPQG đã được hoàn thiện sau khi xét duyệt; bản giải trình của Tổ chức chủ trì Dự án đầu tư SPQG về các nội dung đã chỉnh sửa kèm theo thuyết minh và dự toán kinh phí chi tiết;</w:t>
            </w:r>
          </w:p>
        </w:tc>
        <w:tc>
          <w:p/>
          <w:p>
            <w:pPr>
              <w:spacing w:after="0" w:before="0" w:lineRule="auto" w:line="276"/>
              <w:jc w:val="left"/>
            </w:pPr>
            <w:r>
              <w:rPr>
                <w:rFonts w:ascii="Times New Roman" w:hAnsi="Times New Roman" w:cs="Times New Roman" w:eastAsia="Times New Roman"/>
                <w:b w:val="false"/>
                <w:sz w:val="26"/>
              </w:rPr>
              <w:t>Thuyết minh.doc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phương án huy động các nguồn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danh mục liệt kê các văn bản quy định chế độ, định mức và các văn bản có liên quan được sử dụng để xây dựng dự toán kinh phí; báo giá nguyên vật liệu, thiết bị, bản quyền công nghệ, hợp đồng thuê chuyên gia và các báo giá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ý kiến của chuyên gia tư vấn độc lập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biên bản họp hội đồng xét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Khoa học và Công nghệ các ngành kinh tế - kỹ thuật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nhiệm vụ được hỗ trợ từ ngân sách nhà nước chi sự nghiệp KH&amp;CN thuộc Dự án đầu tư SPQG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28/2014/TT-BKHCN</w:t>
            </w:r>
          </w:p>
        </w:tc>
        <w:tc>
          <w:p/>
          <w:p>
            <w:pPr>
              <w:spacing w:after="0" w:before="0" w:lineRule="auto" w:line="276"/>
              <w:jc w:val="left"/>
            </w:pPr>
            <w:r>
              <w:rPr>
                <w:rFonts w:ascii="Times New Roman" w:hAnsi="Times New Roman" w:cs="Times New Roman" w:eastAsia="Times New Roman"/>
                <w:b w:val="false"/>
                <w:sz w:val="26"/>
              </w:rPr>
              <w:t>Thông tư 28/2014/TT-BKHCN</w:t>
            </w:r>
          </w:p>
        </w:tc>
        <w:tc>
          <w:p/>
          <w:p>
            <w:pPr>
              <w:spacing w:after="0" w:before="0" w:lineRule="auto" w:line="276"/>
              <w:jc w:val="left"/>
            </w:pPr>
            <w:r>
              <w:rPr>
                <w:rFonts w:ascii="Times New Roman" w:hAnsi="Times New Roman" w:cs="Times New Roman" w:eastAsia="Times New Roman"/>
                <w:b w:val="false"/>
                <w:sz w:val="26"/>
              </w:rPr>
              <w:t>15-10-2014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Dự án đầu tư SPQG (bao gồm cả dự án đầu tư mới hoặc dự án đầu tư mở rộng) được hỗ trợ kinh phí từ ngân sách nhà nước chi sự nghiệp KH&amp;CN phải có xuất xứ từ kết quả của nhiệm vụ KH&amp;CN hoặc tiếp nhận công nghệ chuyển giao từ các nguồn trong và ngoài nước để sản xuất SPQG trong khuôn khổ Đề án khung phát triển SPQG đã được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thẩm định nhiệm vụ thuộc dự án đầu tư sản xuất sản phẩm quốc gia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2025-11-27T16:23:31Z</dcterms:created>
  <dc:creator>Apache POI</dc:creator>
</cp:coreProperties>
</file>