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891/QĐ-NHNN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tạm ngừng hoạt động kinh doanh từ 05 ngày làm việc trở lên, trừ trường hợp tạm ngừng hoạt động do sự kiện bất khả kháng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Tối thiểu 60 ngày trước ngày dự kiến tạm ngừng hoạt động kinh doanh,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Bước 2: Trong thời hạn 25 ngày kể từ ngày nhận đủ hồ sơ hợp lệ, Ngân hàng Nhà nước có văn bản chấp thuận tạm ngừng hoạt động kinh doanh từ 05 ngày làm việc của tổ chức tài chính vi mô; trường hợp từ chối, Ngân hàng Nhà nước trả lời bằng văn bản và nêu rõ lý do;</w:t>
      </w:r>
    </w:p>
    <w:p>
      <w:pPr>
        <w:spacing w:after="0" w:before="0" w:lineRule="auto" w:line="276"/>
        <w:jc w:val="both"/>
      </w:pPr>
      <w:r>
        <w:rPr>
          <w:rFonts w:ascii="Times New Roman" w:hAnsi="Times New Roman" w:cs="Times New Roman" w:eastAsia="Times New Roman"/>
          <w:b w:val="false"/>
          <w:sz w:val="26"/>
        </w:rPr>
        <w:t>Bước 3: Sau khi nhận được văn bản chấp thuận của Ngân hàng Nhà nước về việc tạm ngừng hoạt động kinh doanh, chậm nhất là 03 ngày làm việc trước ngày tạm ngừng hoạt động kinh doanh, tổ chức tài chính vi mô có trách nhiệm thông báo đến khách hàng, niêm yết thời gian và lý do tạm ngừng hoạt động kinh doanh tại các địa điểm giao dịch.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tạm ngừng hoạt động kinh doanh, trong đó tối thiểu bao gồm các nội dung sau: (i) Số ngày và thời gian dự kiến tạm ngừng hoạt động kinh doanh; (ii) Lý do của việc tạm ngừng hoạt động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Hội đồng thành viên thông qua việc tạm ngừng hoạt động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sự cần thiết của việc tạm ngừng hoạt động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xử lý các rủi ro phát sinh do việc tạm ngừng hoạt động kinh doanh, trong đó bao gồm các giải pháp dự kiến thực hiện để giảm thiểu tối đa ảnh hưởng của việc tạm ngừng hoạt động kinh doanh đến quyền và lợi ích của khách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tạm ngừng hoạt động kinh doanh từ 05 ngày làm việc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2025-11-27T16:23:44Z</dcterms:created>
  <dc:creator>Apache POI</dc:creator>
</cp:coreProperties>
</file>