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3904/QĐ-BYT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mỹ phẩm khi có thay đổi về tên, địa chỉ của tổ chức, cá nhân chịu trách nhiệm và không thay đổi nội dung quảng cáo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xác nhận lại nội dung quảng cáo nộp hồ sơ tại Sở Y tế.</w:t>
      </w:r>
    </w:p>
    <w:p>
      <w:pPr>
        <w:spacing w:after="0" w:before="0" w:lineRule="auto" w:line="276"/>
        <w:jc w:val="both"/>
      </w:pPr>
      <w:r>
        <w:rPr>
          <w:rFonts w:ascii="Times New Roman" w:hAnsi="Times New Roman" w:cs="Times New Roman" w:eastAsia="Times New Roman"/>
          <w:b w:val="false"/>
          <w:sz w:val="26"/>
        </w:rPr>
        <w:t>Bước 2: Trường hợp hồ sơ chưa hợp lệ, trong thời gian 05 ngày làm việc kể từ ngày nhận hồ sơ theo dấu tiếp nhận công văn đến của cơ quan tiếp nhận hồ sơ, cơ quan tiếp nhận hồ sơ có văn bản đề nghị đơn vị sửa đổi, bổ sung. Thời gian để tổ chức đề nghị xác nhận nội dung quảng cáo sửa đổi, bổ sung hoàn chỉnh hồ sơ theo yêu cầu tối đa là 90 ngày kể từ ngày nhận được văn bản thông báo sửa đổi, bổ sung của cơ quan tiếp nhận hồ sơ. Quá thời hạn này thì hồ sơ đề nghị xác nhận nội dung quảng cáo hết giá trị.</w:t>
      </w:r>
    </w:p>
    <w:p>
      <w:pPr>
        <w:spacing w:after="0" w:before="0" w:lineRule="auto" w:line="276"/>
        <w:jc w:val="both"/>
      </w:pPr>
      <w:r>
        <w:rPr>
          <w:rFonts w:ascii="Times New Roman" w:hAnsi="Times New Roman" w:cs="Times New Roman" w:eastAsia="Times New Roman"/>
          <w:b w:val="false"/>
          <w:sz w:val="26"/>
        </w:rPr>
        <w:t>Bước 3: Trong thời gian 10 ngày làm việc kể từ ngày nhận đủ hồ sơ hợp lệ theo dấu tiếp nhận công văn đến của cơ quan tiếp nhận hồ sơ, cơ quan nhà nước có thẩm quyền cấp giấy xác nhận nội dung quảng cáo. Trường hợp không cấp giấy xác nhận nội dung quảng cáo, cơ quan nhà nước có thẩm quyền phải trả lời bằng văn bản và nêu rõ lý do không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10 ngày làm việc kể từ ngày nhận được hồ sơ đầy đủ, hợp lệ theo dấu tiếp nhận công văn đến của cơ quan tiếp nhận hồ sơ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10 ngày làm việc kể từ ngày nhận được hồ sơ đầy đủ, hợp lệ theo dấu tiếp nhận công văn đến của cơ quan tiếp nhận hồ sơ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nội dung quảng cáo đã được cấp kèm theo mẫu hoặc kịch bản quảng cáo đã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cơ quan có thẩm quyền về việc thay đổi về tên, địa chỉ của tổ chức, cá nhân chịu trách nhiệm đưa sản phẩm, hàng hóa, dịch vụ ra thị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34/2005/QH11</w:t>
            </w:r>
          </w:p>
        </w:tc>
        <w:tc>
          <w:p/>
          <w:p>
            <w:pPr>
              <w:spacing w:after="0" w:before="0" w:lineRule="auto" w:line="276"/>
              <w:jc w:val="left"/>
            </w:pPr>
            <w:r>
              <w:rPr>
                <w:rFonts w:ascii="Times New Roman" w:hAnsi="Times New Roman" w:cs="Times New Roman" w:eastAsia="Times New Roman"/>
                <w:b w:val="false"/>
                <w:sz w:val="26"/>
              </w:rPr>
              <w:t>Luật 34/2005/QH11-Dược</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2025-11-27T16:23:47Z</dcterms:created>
  <dc:creator>Apache POI</dc:creator>
</cp:coreProperties>
</file>