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D</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và nộp phí C/O tại địa chỉ www.ecosys.gov.vn.
	Bước 2: Cán bộ của Tổ chức cấp C/O kiểm tra xem bộ hồ sơ có hợp lệ hay không và thông báo trên hệ thống eCoSys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ký cấp phép C/O trên hệ thống eCoSys.
	Bước 4: Người có thẩm quyền của Tổ chức cấp C/O ký cấp phép C/O và trả kết quả C/O dưới dạng bản pdf cho thương nhân trên hệ thống eCoSys.</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Trong thời hạn 6 giờ làm việc kể từ khi Tổ chức cấp C/O nhận được hồ sơ đầy đủ và hợp lệ dưới dạng điện tử, kết quả xét duyệt hồ sơ đề nghị cấp C/O được thông báo trên hệ thống eCoSys:
- Nếu hồ sơ C/O hợp lệ, Tổ chức cấp C/O duyệt, cấp phép C/O mẫu D điện tử trên hệ thống eCoSys và dữ liệu C/O điện tử được chuyển qua Cổng thông tin một cửa quốc gia (VNSW) để truyền sang các nước thành viên ASEAN.
- Nếu hồ sơ không hợp lệ, Tổ chức cấp C/O nêu rõ lý do không chấp nhận và thông báo qua hệ thống eCoSys để thương nhân sửa đổi, bổ sung.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D đã được khai hoàn chỉnh (Phụ lục II ban hành kèm theo Thông tư số 10/2022/TT-BCT ngày 01/6/2022);</w:t>
            </w:r>
          </w:p>
        </w:tc>
        <w:tc>
          <w:p/>
          <w:p>
            <w:pPr>
              <w:spacing w:after="0" w:before="0" w:lineRule="auto" w:line="276"/>
              <w:jc w:val="left"/>
            </w:pPr>
            <w:r>
              <w:rPr>
                <w:rFonts w:ascii="Times New Roman" w:hAnsi="Times New Roman" w:cs="Times New Roman" w:eastAsia="Times New Roman"/>
                <w:b w:val="false"/>
                <w:sz w:val="26"/>
              </w:rPr>
              <w:t>Mẫu CO mau 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 được sửa đổi, bổ sung tại Thông tư số 44/2023/TT-BTC ngày 29/12/2023 của Bộ trưởng Bộ Công Thương;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22/2016/TT-BCT</w:t>
            </w:r>
          </w:p>
        </w:tc>
        <w:tc>
          <w:p/>
          <w:p>
            <w:pPr>
              <w:spacing w:after="0" w:before="0" w:lineRule="auto" w:line="276"/>
              <w:jc w:val="left"/>
            </w:pPr>
            <w:r>
              <w:rPr>
                <w:rFonts w:ascii="Times New Roman" w:hAnsi="Times New Roman" w:cs="Times New Roman" w:eastAsia="Times New Roman"/>
                <w:b w:val="false"/>
                <w:sz w:val="26"/>
              </w:rPr>
              <w:t>Thông tư 22/2016/TT-BCT</w:t>
            </w:r>
          </w:p>
        </w:tc>
        <w:tc>
          <w:p/>
          <w:p>
            <w:pPr>
              <w:spacing w:after="0" w:before="0" w:lineRule="auto" w:line="276"/>
              <w:jc w:val="left"/>
            </w:pPr>
            <w:r>
              <w:rPr>
                <w:rFonts w:ascii="Times New Roman" w:hAnsi="Times New Roman" w:cs="Times New Roman" w:eastAsia="Times New Roman"/>
                <w:b w:val="false"/>
                <w:sz w:val="26"/>
              </w:rPr>
              <w:t>03-10-2016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2025-11-27T16:23:51Z</dcterms:created>
  <dc:creator>Apache POI</dc:creator>
</cp:coreProperties>
</file>