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máy móc, thiết bị chuyên ngành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gửi 01 bộ hồ sơ nhập khẩu máy móc, thiết bị chuyên ngành thuốc lá đến Ủy ban nhân dân cấp tỉnh. Trong thời hạn 10 ngày làm việc kể từ ngày nhận được đủ hồ sơ của doanh nghiệp, Ủy ban nhân dân cấp tỉnh sẽ có văn bản trả lời doanh nghiệp, trường hợp từ chối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Số lượng bộ hồ sơ: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máy móc, thiết bị chuyên ngành thuốc lá.</w:t>
            </w:r>
          </w:p>
        </w:tc>
        <w:tc>
          <w:p/>
          <w:p>
            <w:pPr>
              <w:spacing w:after="0" w:before="0" w:lineRule="auto" w:line="276"/>
              <w:jc w:val="left"/>
            </w:pPr>
            <w:r>
              <w:rPr>
                <w:rFonts w:ascii="Times New Roman" w:hAnsi="Times New Roman" w:cs="Times New Roman" w:eastAsia="Times New Roman"/>
                <w:b w:val="false"/>
                <w:sz w:val="26"/>
              </w:rPr>
              <w:t>Don1.docx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đồng ý chủ trương đầu tư, dự án và các văn bản phê duyệt liên quan (nếu có)</w:t>
            </w:r>
          </w:p>
        </w:tc>
        <w:tc>
          <w:p/>
          <w:p>
            <w:pPr>
              <w:spacing w:after="0" w:before="0" w:lineRule="auto" w:line="276"/>
              <w:jc w:val="left"/>
            </w:pPr>
            <w:r>
              <w:rPr>
                <w:rFonts w:ascii="Times New Roman" w:hAnsi="Times New Roman" w:cs="Times New Roman" w:eastAsia="Times New Roman"/>
                <w:b w:val="false"/>
                <w:sz w:val="26"/>
              </w:rPr>
              <w:t>Dongychutruong.docx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nhập khẩu máy móc, thiết bị chuyên ngành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21/2013/TT-BCT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25-09-2013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Giấy phép sản xuất sản phẩm thuốc lá, Giấy phép chế biến nguyên liệu thuốc lá;
b) Máy móc, thiết bị chuyên ngành thuốc lá nhập khẩu phải phù hợp với năng lực sản xuất của doanh nghiệp đã được Bộ Công Thương công bố;
c) Được sự đồng ý chủ trương đầu tư của Bộ Công Thương (nếu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2025-11-27T16:23:54Z</dcterms:created>
  <dc:creator>Apache POI</dc:creator>
</cp:coreProperties>
</file>