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1.000671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3174/QĐ-BNG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Cử phóng viên thường trú tại các địa phương khác của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Báo chí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Nộp hồ sơ</w:t>
      </w:r>
    </w:p>
    <w:p>
      <w:pPr>
        <w:spacing w:after="0" w:before="0" w:lineRule="auto" w:line="276"/>
        <w:jc w:val="both"/>
      </w:pPr>
      <w:r>
        <w:rPr>
          <w:rFonts w:ascii="Times New Roman" w:hAnsi="Times New Roman" w:cs="Times New Roman" w:eastAsia="Times New Roman"/>
          <w:b w:val="false"/>
          <w:sz w:val="26"/>
        </w:rPr>
        <w:t>Văn phòng thường trú có yêu cầu hoạt động thông tin, báo chí tại các địa phương của Việt Nam gửi hồ sơ tới Ủy ban Nhân dân tỉnh, thành phố trực thuộc Trung ương, đồng thời thông báo tới Vụ Thông tin Báo chí (Bộ Ngoại giao).	</w:t>
      </w:r>
    </w:p>
    <w:p>
      <w:pPr>
        <w:shd w:val="clear" w:color="auto" w:fill="F2F6F9"/>
        <w:spacing w:after="0" w:before="120" w:lineRule="auto" w:line="276"/>
        <w:jc w:val="both"/>
      </w:pPr>
      <w:r>
        <w:rPr>
          <w:rFonts w:ascii="Times New Roman" w:hAnsi="Times New Roman" w:cs="Times New Roman" w:eastAsia="Times New Roman"/>
          <w:b w:val="true"/>
          <w:sz w:val="26"/>
        </w:rPr>
        <w:t>Trả lời</w:t>
      </w:r>
    </w:p>
    <w:p>
      <w:pPr>
        <w:spacing w:after="0" w:before="0" w:lineRule="auto" w:line="276"/>
        <w:jc w:val="both"/>
      </w:pPr>
      <w:r>
        <w:rPr>
          <w:rFonts w:ascii="Times New Roman" w:hAnsi="Times New Roman" w:cs="Times New Roman" w:eastAsia="Times New Roman"/>
          <w:b w:val="false"/>
          <w:sz w:val="26"/>
        </w:rPr>
        <w:t>Ủy ban nhân dân tỉnh, thành phố trực thuộc Trung ương trả lời Văn phòng thường trú bằng văn bản.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kể từ khi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kể từ khi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cử phóng viên thường trú của người đứng đầu cơ quan báo chí nước ngoài hoặc người được người đứng đầu cơ quan báo chí nước ngoài ủy quyền theo mẫu do Bộ Ngoại giao ban hành.</w:t>
            </w:r>
          </w:p>
        </w:tc>
        <w:tc>
          <w:p/>
          <w:p>
            <w:pPr>
              <w:spacing w:after="0" w:before="0" w:lineRule="auto" w:line="276"/>
              <w:jc w:val="left"/>
            </w:pPr>
            <w:r>
              <w:rPr>
                <w:rFonts w:ascii="Times New Roman" w:hAnsi="Times New Roman" w:cs="Times New Roman" w:eastAsia="Times New Roman"/>
                <w:b w:val="false"/>
                <w:sz w:val="26"/>
              </w:rPr>
              <w:t>Mau so 3 - Don de nghi cu phong vien thuong tru.docx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Thông tin cá nhân của người được cử làm phóng viên thường trú.</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chụp hộ chiếu của người được cử làm phóng viên thường trú.</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Nếu người được cử làm phóng viên thường trú là vợ hoặc chồng của thành viên cơ quan đại diện nước ngoài và được hưởng quyền ưu đãi, miễn trừ ngoại giao, lãnh sự, cơ quan đại diện nước ngoài phải có văn bản cam kết từ bỏ quyền ưu đãi, miễn trừ từ thời điểm được chấp thuận làm phóng viên thường trú.</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Văn phòng Ủy ban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ngành và Ủy ban nhân dân tỉnh liên quan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Ủy ban Nhân dân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phóng viên nước ngoài, Thư chấp thuận cử phóng viên thường trú</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103/2016/QH13	</w:t>
            </w:r>
          </w:p>
        </w:tc>
        <w:tc>
          <w:p/>
          <w:p>
            <w:pPr>
              <w:spacing w:after="0" w:before="0" w:lineRule="auto" w:line="276"/>
              <w:jc w:val="left"/>
            </w:pPr>
            <w:r>
              <w:rPr>
                <w:rFonts w:ascii="Times New Roman" w:hAnsi="Times New Roman" w:cs="Times New Roman" w:eastAsia="Times New Roman"/>
                <w:b w:val="false"/>
                <w:sz w:val="26"/>
              </w:rPr>
              <w:t>Luật 103/2016/QH13	</w:t>
            </w:r>
          </w:p>
        </w:tc>
        <w:tc>
          <w:p/>
          <w:p>
            <w:pPr>
              <w:spacing w:after="0" w:before="0" w:lineRule="auto" w:line="276"/>
              <w:jc w:val="left"/>
            </w:pPr>
            <w:r>
              <w:rPr>
                <w:rFonts w:ascii="Times New Roman" w:hAnsi="Times New Roman" w:cs="Times New Roman" w:eastAsia="Times New Roman"/>
                <w:b w:val="false"/>
                <w:sz w:val="26"/>
              </w:rPr>
              <w:t>05-04-2016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88/2012/NĐ-CP</w:t>
            </w:r>
          </w:p>
        </w:tc>
        <w:tc>
          <w:p/>
          <w:p>
            <w:pPr>
              <w:spacing w:after="0" w:before="0" w:lineRule="auto" w:line="276"/>
              <w:jc w:val="left"/>
            </w:pPr>
            <w:r>
              <w:rPr>
                <w:rFonts w:ascii="Times New Roman" w:hAnsi="Times New Roman" w:cs="Times New Roman" w:eastAsia="Times New Roman"/>
                <w:b w:val="false"/>
                <w:sz w:val="26"/>
              </w:rPr>
              <w:t>Nghị định 88/2012/NĐ-CP</w:t>
            </w:r>
          </w:p>
        </w:tc>
        <w:tc>
          <w:p/>
          <w:p>
            <w:pPr>
              <w:spacing w:after="0" w:before="0" w:lineRule="auto" w:line="276"/>
              <w:jc w:val="left"/>
            </w:pPr>
            <w:r>
              <w:rPr>
                <w:rFonts w:ascii="Times New Roman" w:hAnsi="Times New Roman" w:cs="Times New Roman" w:eastAsia="Times New Roman"/>
                <w:b w:val="false"/>
                <w:sz w:val="26"/>
              </w:rPr>
              <w:t>23-10-2012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06/2012/TT-BNG</w:t>
            </w:r>
          </w:p>
        </w:tc>
        <w:tc>
          <w:p/>
          <w:p>
            <w:pPr>
              <w:spacing w:after="0" w:before="0" w:lineRule="auto" w:line="276"/>
              <w:jc w:val="left"/>
            </w:pPr>
            <w:r>
              <w:rPr>
                <w:rFonts w:ascii="Times New Roman" w:hAnsi="Times New Roman" w:cs="Times New Roman" w:eastAsia="Times New Roman"/>
                <w:b w:val="false"/>
                <w:sz w:val="26"/>
              </w:rPr>
              <w:t>Thông tư 06/2012/TT-BNG</w:t>
            </w:r>
          </w:p>
        </w:tc>
        <w:tc>
          <w:p/>
          <w:p>
            <w:pPr>
              <w:spacing w:after="0" w:before="0" w:lineRule="auto" w:line="276"/>
              <w:jc w:val="left"/>
            </w:pPr>
            <w:r>
              <w:rPr>
                <w:rFonts w:ascii="Times New Roman" w:hAnsi="Times New Roman" w:cs="Times New Roman" w:eastAsia="Times New Roman"/>
                <w:b w:val="false"/>
                <w:sz w:val="26"/>
              </w:rPr>
              <w:t>10-12-2012</w:t>
            </w:r>
          </w:p>
        </w:tc>
        <w:tc>
          <w:p/>
          <w:p>
            <w:pPr>
              <w:spacing w:after="0" w:before="0" w:lineRule="auto" w:line="276"/>
              <w:jc w:val="left"/>
            </w:pPr>
            <w:r>
              <w:rPr>
                <w:rFonts w:ascii="Times New Roman" w:hAnsi="Times New Roman" w:cs="Times New Roman" w:eastAsia="Times New Roman"/>
                <w:b w:val="false"/>
                <w:sz w:val="26"/>
              </w:rPr>
              <w:t>Bộ Ngoại giao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Văn phòng thường trú thông báo cho Vụ Thông tin Báo chí (Bộ Ngoại giao) về yêu cầu hoạt động thông tin, báo chí tại địa phương.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https://thutuc.dichvucong.gov.vn/p/home/dvc-tthc-thu-tuc-hanh-chinh-chi-tiet.html?ma_thu_tuc=956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2025-11-27T16:23:55Z</dcterms:created>
  <dc:creator>Apache POI</dc:creator>
</cp:coreProperties>
</file>