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S</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S đã được khai hoàn chỉnh (Phụ lục 5 ban hành kèm theo Thông tư số 04/2010/TT-BCT ngày 25/01/2010);</w:t>
            </w:r>
          </w:p>
        </w:tc>
        <w:tc>
          <w:p/>
          <w:p>
            <w:pPr>
              <w:spacing w:after="0" w:before="0" w:lineRule="auto" w:line="276"/>
              <w:jc w:val="left"/>
            </w:pPr>
            <w:r>
              <w:rPr>
                <w:rFonts w:ascii="Times New Roman" w:hAnsi="Times New Roman" w:cs="Times New Roman" w:eastAsia="Times New Roman"/>
                <w:b w:val="false"/>
                <w:sz w:val="26"/>
              </w:rPr>
              <w:t>PL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S</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04/2010/TT-BCT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25-01-2010</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2025-11-27T16:24:04Z</dcterms:created>
  <dc:creator>Apache POI</dc:creator>
</cp:coreProperties>
</file>