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3846/QĐ-NHCS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bảo đảm tiền vay bằng hình thức thế chấp tài sản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2.
- NHCSXH nơi thực hiện thủ tục thẩm định tài sản thế chấp, nếu:
+ Tài sản thế chấp không đủ điều kiện bảo đảm cho khoản vay: NHCSXH nơi thực hiện thủ tục thông báo (mẫu số 02/BĐTV) cho Bên thế chấp.
+ Tài sản thế chấp đủ điều kiện bảo đảm cho khoản vay: NHCSXH nơi thực hiện thủ tục và Bên thế chấp xác định giá trị tài sản thế chấp, lập Biên bản xác định giá trị tài sản thế chấp.
- NHCSXH nơi thực hiện thủ tục và Bên thế chấp thỏa thuận lập Hợp đồng thế chấp tài sản.
</w:t>
      </w:r>
    </w:p>
    <w:p>
      <w:pPr>
        <w:spacing w:after="0" w:before="0" w:lineRule="auto" w:line="276"/>
        <w:jc w:val="both"/>
      </w:pPr>
      <w:r>
        <w:rPr>
          <w:rFonts w:ascii="Times New Roman" w:hAnsi="Times New Roman" w:cs="Times New Roman" w:eastAsia="Times New Roman"/>
          <w:b w:val="false"/>
          <w:sz w:val="26"/>
        </w:rPr>
        <w:t xml:space="preserve">Hợp đồng thế chấp tài sản, đăng ký biện pháp bảo đảm theo quy định của               pháp luật. </w:t>
      </w:r>
    </w:p>
    <w:p>
      <w:pPr>
        <w:spacing w:after="0" w:before="0" w:lineRule="auto" w:line="276"/>
        <w:jc w:val="both"/>
      </w:pPr>
      <w:r>
        <w:rPr>
          <w:rFonts w:ascii="Times New Roman" w:hAnsi="Times New Roman" w:cs="Times New Roman" w:eastAsia="Times New Roman"/>
          <w:b w:val="false"/>
          <w:sz w:val="26"/>
        </w:rPr>
        <w:t>Bước 4: Bên thế chấp giao/nộp bản chính Giấy chứng nhận quyền sử dụng đất, quyền sở hữu nhà ở và tài sản khác gắn liền với đất và giấy tờ liên quan đến tài sản thế chấp cho NHCSXH nơi thực hiện thủ tục.</w:t>
      </w:r>
    </w:p>
    <w:p>
      <w:pPr>
        <w:spacing w:after="0" w:before="0" w:lineRule="auto" w:line="276"/>
        <w:jc w:val="both"/>
      </w:pPr>
      <w:r>
        <w:rPr>
          <w:rFonts w:ascii="Times New Roman" w:hAnsi="Times New Roman" w:cs="Times New Roman" w:eastAsia="Times New Roman"/>
          <w:b w:val="false"/>
          <w:sz w:val="26"/>
        </w:rPr>
        <w:t>Bước 1: Bên thế chấp xuất trình Giấy chứng nhận quyền sử dụng đất, quyền sở hữu nhà ở và tài sản khác gắn liền với đất và gửi kèm các giấy tờ có liên quan đến hồ sơ thế chấp tới NHCSXH nơi thực hiện thủ tục.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Bên thế chấp nộp hồ sơ thế chấp tài sản trực tiếp cho NHCSXH nơi thực hiện thủ tục.
Trong thời hạn 15 ngày làm việc kể từ ngày NHCSXH nơi thực hiện thủ tục nhận được đầy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chứng nhận quyền sử dụng đất, quyền sở hữu nhà ở và tài sản khác gắn liền với đất: 01 bản chính (lưu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bảo hiểm tài sản (trong trường hợp pháp luật quy định tài sản thế chấp phải mua bảo hiểm): 01 bản chính (lưu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Căn cước công dân/Giấy chứng minh nhân dân của Bên thế chấp: 01 bản sao (lưu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điều lệ doanh nghiệp, Quyết định bổ nhiệm người đại diện theo pháp luật...(trong trường hợp Bên thế chấp là tổ chức kinh tế): 01 bản sao có công chứng hoặc chứng thực (lưu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chấp thuận dùng tài sản sở hữu chung để thế chấp (trường hợp Bên thế chấp là: Tổ chức kinh tế Nhà nước, công ty liên doanh, công ty cổ phần, công ty trách nhiệm hữu hạn nhiều thành viên…): 01 bản chính (lưu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cử người đại diện thế chấp và sử dụng tài sản để thế chấp (trường hợp phải có theo quy định): 01 bản chính có công chứng (lưu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xác định giá trị tài sản thế chấp (mẫu số 03/BĐTV): 03 bản chính (01 bản lưu Bên thế chấp, 02 bản lưu NHCSXH);</w:t>
            </w:r>
          </w:p>
        </w:tc>
        <w:tc>
          <w:p/>
          <w:p>
            <w:pPr>
              <w:spacing w:after="0" w:before="0" w:lineRule="auto" w:line="276"/>
              <w:jc w:val="left"/>
            </w:pPr>
            <w:r>
              <w:rPr>
                <w:rFonts w:ascii="Times New Roman" w:hAnsi="Times New Roman" w:cs="Times New Roman" w:eastAsia="Times New Roman"/>
                <w:b w:val="false"/>
                <w:sz w:val="26"/>
              </w:rPr>
              <w:t>03-BĐTV-BB xác định giá trị TSTC (3768).doc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thế chấp tài sản (mẫu số 04/BĐTV): 05 bản chính có công chứng (01 bản lưu người vay, 01 bản lưu Bên thế chấp, 01 bản lưu tổ chức Công chứng, 01 bản lưu cơ quan đăng ký biện pháp bảo đảm, 01 bản lưu NHCSXH nơi thực hiện thủ tục);</w:t>
            </w:r>
          </w:p>
        </w:tc>
        <w:tc>
          <w:p/>
          <w:p>
            <w:pPr>
              <w:spacing w:after="0" w:before="0" w:lineRule="auto" w:line="276"/>
              <w:jc w:val="left"/>
            </w:pPr>
            <w:r>
              <w:rPr>
                <w:rFonts w:ascii="Times New Roman" w:hAnsi="Times New Roman" w:cs="Times New Roman" w:eastAsia="Times New Roman"/>
                <w:b w:val="false"/>
                <w:sz w:val="26"/>
              </w:rPr>
              <w:t>04-BĐTV-HĐ thế chấp TS (3768).docx</w:t>
            </w:r>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khác làm cơ sở định giá tài sản thế chấp (nếu có): 01 bản sao (lưu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Tổ chức hành nghề công chứng, Cơ quan đăng ký giao dịch bảo đảm</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phê duyệt tài sản thế chấp (mẫu số 02/BĐTV), Hợp đồng thế chấp tài sản (mẫu số 04/BĐTV).</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	Quyết định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100/2015/NĐ-CP</w:t>
            </w:r>
          </w:p>
        </w:tc>
        <w:tc>
          <w:p/>
          <w:p>
            <w:pPr>
              <w:spacing w:after="0" w:before="0" w:lineRule="auto" w:line="276"/>
              <w:jc w:val="left"/>
            </w:pPr>
            <w:r>
              <w:rPr>
                <w:rFonts w:ascii="Times New Roman" w:hAnsi="Times New Roman" w:cs="Times New Roman" w:eastAsia="Times New Roman"/>
                <w:b w:val="false"/>
                <w:sz w:val="26"/>
              </w:rPr>
              <w:t>Văn bản số 100/2015/NĐ-CP</w:t>
            </w:r>
          </w:p>
        </w:tc>
        <w:tc>
          <w:p/>
          <w:p>
            <w:pPr>
              <w:spacing w:after="0" w:before="0" w:lineRule="auto" w:line="276"/>
              <w:jc w:val="left"/>
            </w:pPr>
            <w:r>
              <w:rPr>
                <w:rFonts w:ascii="Times New Roman" w:hAnsi="Times New Roman" w:cs="Times New Roman" w:eastAsia="Times New Roman"/>
                <w:b w:val="false"/>
                <w:sz w:val="26"/>
              </w:rPr>
              <w:t>20-10-2015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2526/NHCS-TDSV</w:t>
            </w:r>
          </w:p>
        </w:tc>
        <w:tc>
          <w:p/>
          <w:p>
            <w:pPr>
              <w:spacing w:after="0" w:before="0" w:lineRule="auto" w:line="276"/>
              <w:jc w:val="left"/>
            </w:pPr>
            <w:r>
              <w:rPr>
                <w:rFonts w:ascii="Times New Roman" w:hAnsi="Times New Roman" w:cs="Times New Roman" w:eastAsia="Times New Roman"/>
                <w:b w:val="false"/>
                <w:sz w:val="26"/>
              </w:rPr>
              <w:t>Văn bản số 2526/NHCS-TDSV</w:t>
            </w:r>
          </w:p>
        </w:tc>
        <w:tc>
          <w:p/>
          <w:p>
            <w:pPr>
              <w:spacing w:after="0" w:before="0" w:lineRule="auto" w:line="276"/>
              <w:jc w:val="left"/>
            </w:pPr>
            <w:r>
              <w:rPr>
                <w:rFonts w:ascii="Times New Roman" w:hAnsi="Times New Roman" w:cs="Times New Roman" w:eastAsia="Times New Roman"/>
                <w:b w:val="false"/>
                <w:sz w:val="26"/>
              </w:rPr>
              <w:t>27-07-2016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4086/NHCS-TDNN</w:t>
            </w:r>
          </w:p>
        </w:tc>
        <w:tc>
          <w:p/>
          <w:p>
            <w:pPr>
              <w:spacing w:after="0" w:before="0" w:lineRule="auto" w:line="276"/>
              <w:jc w:val="left"/>
            </w:pPr>
            <w:r>
              <w:rPr>
                <w:rFonts w:ascii="Times New Roman" w:hAnsi="Times New Roman" w:cs="Times New Roman" w:eastAsia="Times New Roman"/>
                <w:b w:val="false"/>
                <w:sz w:val="26"/>
              </w:rPr>
              <w:t>Văn bản số 4086/NHCS-TDNN</w:t>
            </w:r>
          </w:p>
        </w:tc>
        <w:tc>
          <w:p/>
          <w:p>
            <w:pPr>
              <w:spacing w:after="0" w:before="0" w:lineRule="auto" w:line="276"/>
              <w:jc w:val="left"/>
            </w:pPr>
            <w:r>
              <w:rPr>
                <w:rFonts w:ascii="Times New Roman" w:hAnsi="Times New Roman" w:cs="Times New Roman" w:eastAsia="Times New Roman"/>
                <w:b w:val="false"/>
                <w:sz w:val="26"/>
              </w:rPr>
              <w:t>26-10-2016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163/2006/NĐ-CP</w:t>
            </w:r>
          </w:p>
        </w:tc>
        <w:tc>
          <w:p/>
          <w:p>
            <w:pPr>
              <w:spacing w:after="0" w:before="0" w:lineRule="auto" w:line="276"/>
              <w:jc w:val="left"/>
            </w:pPr>
            <w:r>
              <w:rPr>
                <w:rFonts w:ascii="Times New Roman" w:hAnsi="Times New Roman" w:cs="Times New Roman" w:eastAsia="Times New Roman"/>
                <w:b w:val="false"/>
                <w:sz w:val="26"/>
              </w:rPr>
              <w:t>163/2006/NĐ-CP</w:t>
            </w:r>
          </w:p>
        </w:tc>
        <w:tc>
          <w:p/>
          <w:p>
            <w:pPr>
              <w:spacing w:after="0" w:before="0" w:lineRule="auto" w:line="276"/>
              <w:jc w:val="left"/>
            </w:pPr>
            <w:r>
              <w:rPr>
                <w:rFonts w:ascii="Times New Roman" w:hAnsi="Times New Roman" w:cs="Times New Roman" w:eastAsia="Times New Roman"/>
                <w:b w:val="false"/>
                <w:sz w:val="26"/>
              </w:rPr>
              <w:t>29-12-2006</w:t>
            </w:r>
          </w:p>
        </w:tc>
        <w:tc>
          <w:p/>
        </w:tc>
      </w:tr>
      <w:tr>
        <w:tc>
          <w:p/>
          <w:p>
            <w:pPr>
              <w:spacing w:after="0" w:before="0" w:lineRule="auto" w:line="276"/>
              <w:jc w:val="left"/>
            </w:pPr>
            <w:r>
              <w:rPr>
                <w:rFonts w:ascii="Times New Roman" w:hAnsi="Times New Roman" w:cs="Times New Roman" w:eastAsia="Times New Roman"/>
                <w:b w:val="false"/>
                <w:sz w:val="26"/>
              </w:rPr>
              <w:t>Thông tư 20/2016/TT-BXD</w:t>
            </w:r>
          </w:p>
        </w:tc>
        <w:tc>
          <w:p/>
          <w:p>
            <w:pPr>
              <w:spacing w:after="0" w:before="0" w:lineRule="auto" w:line="276"/>
              <w:jc w:val="left"/>
            </w:pPr>
            <w:r>
              <w:rPr>
                <w:rFonts w:ascii="Times New Roman" w:hAnsi="Times New Roman" w:cs="Times New Roman" w:eastAsia="Times New Roman"/>
                <w:b w:val="false"/>
                <w:sz w:val="26"/>
              </w:rPr>
              <w:t>Thông tư 20/2016/TT-BXD</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Xây dựng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Tài sản thế chấp phải thuộc quyền sở hữu, quyền sử dụng của Bên thế chấp, có Giấy tờ chứng minh quyền sở hữu, quyền sử dụng tài sản của Bên                thế chấp.
- Bên thế chấp là người có quyền sử dụng đất đồng thời là chủ sở hữu tài sản gắn liền với đất. Tài sản gắn liền với đất (nhà ở, công trình xây dựng khác) phải được đăng ký quyền sở hữu theo quy định của pháp Luật.
- Tài sản thế chấp là tài sản được phép giao dịch theo quy định của Pháp luật.
- Tài sản thế chấp không có tranh chấp về quyền sở hữu hoặc quyền sử dụng, quản lý tại thời điểm ký kết hợp đồng thế chấp. Tài sản không bị kê biên, bên thế chấp chịu trách nhiệm trước pháp Luật về tính hợp pháp, hợp lệ của tài sản thế chấp.
- Có bảo hiểm tài sản đối với tài sản mà pháp luật quy định phải mua            bảo hiểm. 
- Tài sản thế chấp là đất thuê đã được cấp Giấy chứng nhận quyền sử dụng đất, quyền sở hữu nhà ở và tài sản khác gắn liền với đất có thời hạn sử dụng đất còn lại trên 05 năm tính từ ngày trả nợ cuối cùng khi vay vốn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2025-11-27T16:24:03Z</dcterms:created>
  <dc:creator>Apache POI</dc:creator>
</cp:coreProperties>
</file>