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hành nghề luật sư đối với người được miễn đào tạo nghề luật sư, miễn tập sự hành nghề luật sư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được miễn tập sự hành nghề luật sư lập 01 bộ hồ sơ đề nghị cấp Chứng chỉ hành nghề luật sư gửi trực tiếp hoặc qua dịch vụ bưu chính đến Sở Tư pháp nơi người đó thường trú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w:t>
      </w:r>
    </w:p>
    <w:p>
      <w:pPr>
        <w:spacing w:after="0" w:before="0" w:lineRule="auto" w:line="276"/>
        <w:jc w:val="both"/>
      </w:pPr>
      <w:r>
        <w:rPr>
          <w:rFonts w:ascii="Times New Roman" w:hAnsi="Times New Roman" w:cs="Times New Roman" w:eastAsia="Times New Roman"/>
          <w:b w:val="false"/>
          <w:sz w:val="26"/>
        </w:rPr>
        <w:t>Khi giải quyết hồ sơ đề nghị cấp Chứng chỉ hành nghề luật sư, Sở Tư pháp yêu cầu cơ quan quản lý cơ sở dữ liệu lý lịch tư pháp cung cấp thông tin lý lịch tư pháp đối với người đề nghị cấp chứng chỉ hành nghề luật sư.</w:t>
      </w:r>
    </w:p>
    <w:p>
      <w:pPr>
        <w:spacing w:after="0" w:before="0" w:lineRule="auto" w:line="276"/>
        <w:jc w:val="both"/>
      </w:pPr>
      <w:r>
        <w:rPr>
          <w:rFonts w:ascii="Times New Roman" w:hAnsi="Times New Roman" w:cs="Times New Roman" w:eastAsia="Times New Roman"/>
          <w:b w:val="false"/>
          <w:sz w:val="26"/>
        </w:rPr>
        <w:t>Cơ quan quản lý cơ sở dữ liệu lý lịch tư pháp có trách nhiệm cung cấp thông tin cho cơ quan yêu cầu trong thời hạn 03 ngày làm việc kể từ ngày nhận được yêu cầu. Thời gian phối hợp cung cấp thông tin lý lịch tư pháp không tính vào thời gian giải quyết thủ tục hành chính.</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p>
      <w:pPr>
        <w:spacing w:after="0" w:before="0" w:lineRule="auto" w:line="276"/>
        <w:jc w:val="both"/>
      </w:pPr>
      <w:r>
        <w:rPr>
          <w:rFonts w:ascii="Times New Roman" w:hAnsi="Times New Roman" w:cs="Times New Roman" w:eastAsia="Times New Roman"/>
          <w:b w:val="false"/>
          <w:sz w:val="26"/>
        </w:rPr>
        <w:t>Người yêu cầu nhận kết quả tại Sở Tư pháp nơi mình nộp hồ sơ hoặc qua dịch vụ bưu chính, trừ trường hợp pháp luật có quy định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t xml:space="preserve"> (1 hồ sơ)</w:t>
            </w:r>
          </w:p>
          <w:p>
            <w:pPr>
              <w:spacing w:after="0" w:before="0" w:lineRule="auto" w:line="276"/>
              <w:jc w:val="left"/>
            </w:pPr>
            <w:r>
              <w:rPr>
                <w:rFonts w:ascii="Times New Roman" w:hAnsi="Times New Roman" w:cs="Times New Roman" w:eastAsia="Times New Roman"/>
                <w:b w:val="false"/>
                <w:sz w:val="26"/>
              </w:rPr>
              <w:t>Lệ phí : 100000 Đồng</w:t>
              <w:t xml:space="preserve"> (1 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r>
          </w:p>
          <w:p>
            <w:pPr>
              <w:spacing w:after="0" w:before="0" w:lineRule="auto" w:line="276"/>
              <w:jc w:val="left"/>
            </w:pPr>
            <w:r>
              <w:rPr>
                <w:rFonts w:ascii="Times New Roman" w:hAnsi="Times New Roman" w:cs="Times New Roman" w:eastAsia="Times New Roman"/>
                <w:b w:val="false"/>
                <w:sz w:val="26"/>
              </w:rPr>
              <w:t>Lệ phí : 100.000 Đồng</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t>Phí : 800000 Đồng</w:t>
              <w:t xml:space="preserve"> (1 hồ sơ)</w:t>
            </w:r>
          </w:p>
          <w:p>
            <w:pPr>
              <w:spacing w:after="0" w:before="0" w:lineRule="auto" w:line="276"/>
              <w:jc w:val="left"/>
            </w:pPr>
            <w:r>
              <w:rPr>
                <w:rFonts w:ascii="Times New Roman" w:hAnsi="Times New Roman" w:cs="Times New Roman" w:eastAsia="Times New Roman"/>
                <w:b w:val="false"/>
                <w:sz w:val="26"/>
              </w:rPr>
              <w:t>Lệ phí : 100000 Đồng</w:t>
              <w:t xml:space="preserve"> (1 hồ sơ)</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hợp lệ, Sở Tư pháp có trách nhiệm kiểm tra hồ sơ, trong trường hợp cần thiết thì tiến hành xác minh tính hợp pháp của hồ sơ và có văn bản đề nghị kèm theo hồ sơ cấp Chứng chỉ hành nghề luật sư trình Chủ tịch Ủy ban nhân dân cấp tỉnh.
Trong thời hạn 10 ngày làm việc kể từ ngày nhận đủ hồ sơ hợp lệ của Sở Tư pháp, Chủ tịch Ủy ban nhân dân cấp tỉnh quyết định cấp Chứng chỉ hành nghề luật sư;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Bằng cử nhân luật hoặc bản sao Bằng thạc sỹ luật trừ những người là giáo sư, phó giáo sư chuyên ngành luật, tiến sỹ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sức khoẻ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Chứng chỉ hành nghề luật sư theo mẫu do Bộ Tư pháp ban hành</w:t>
            </w:r>
          </w:p>
        </w:tc>
        <w:tc>
          <w:p/>
          <w:p>
            <w:pPr>
              <w:spacing w:after="0" w:before="0" w:lineRule="auto" w:line="276"/>
              <w:jc w:val="left"/>
            </w:pPr>
            <w:r>
              <w:rPr>
                <w:rFonts w:ascii="Times New Roman" w:hAnsi="Times New Roman" w:cs="Times New Roman" w:eastAsia="Times New Roman"/>
                <w:b w:val="false"/>
                <w:sz w:val="26"/>
              </w:rPr>
              <w:t>Mauso01-PLIII-LS.docx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giải trình, cam kết về quá trình phấn đấu về việc tuân thủ Hiến pháp và pháp luật, có phẩm chất đạo đức tốt và có xác nhận của cơ quan, tổ chức nơi làm việc cuối cùng của người đó trước thời điểm đề nghị cấp Chứng chỉ hành nghề luật sư hoặc của công an xã, phường, thị trấn nơi người đó cư trú (đối với người thuộc trường hợp quy định tại điểm a khoản 1 Điều 2a của Nghị định số 137/2018/NĐ-CP).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tờ chứng minh là người được miễn tập sự hành nghề luật sư quy định tại khoản 1 Điều 16 của Luật luật sư bao gồm một trong các giấy tờ sau đây: Bản sao Quyết định bổ nhiệm thẩm phán, kiểm sát viên, điều tra viên hoặc Nghị quyết của Hội đồng nhân dân, Biên bản bầu thẩm phán của Hội đồng nhân dân đối với trường hợp thẩm phán do Hội đồng nhân dân cấp huyện, cấp tỉnh bầu; Bản sao Quyết định phong hàm Giáo sư, Phó Giáo sư chuyên ngành luật sư hoặc bản sao bằng tiến sỹ luật; Bản sao Quyết định bổ nhiệm thẩm tra viên cao cấp ngành Tòa án, kiểm tra viên cao cấp ngành Kiểm sát, chuyên viên cao cấp, nghiên cứu viên cao cấp, giảng viên cao cấp chuyên ngành luật; các giấy tờ hợp pháp khác chứng minh là người được miễn tập sự hành nghề luật sư.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luật sư</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137/2018/NĐ-CP</w:t>
            </w:r>
          </w:p>
        </w:tc>
        <w:tc>
          <w:p/>
          <w:p>
            <w:pPr>
              <w:spacing w:after="0" w:before="0" w:lineRule="auto" w:line="276"/>
              <w:jc w:val="left"/>
            </w:pPr>
            <w:r>
              <w:rPr>
                <w:rFonts w:ascii="Times New Roman" w:hAnsi="Times New Roman" w:cs="Times New Roman" w:eastAsia="Times New Roman"/>
                <w:b w:val="false"/>
                <w:sz w:val="26"/>
              </w:rPr>
              <w:t>Nghị định 137/2018/NĐ-CP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05/2021/TT-BTP</w:t>
            </w:r>
          </w:p>
        </w:tc>
        <w:tc>
          <w:p/>
          <w:p>
            <w:pPr>
              <w:spacing w:after="0" w:before="0" w:lineRule="auto" w:line="276"/>
              <w:jc w:val="left"/>
            </w:pPr>
            <w:r>
              <w:rPr>
                <w:rFonts w:ascii="Times New Roman" w:hAnsi="Times New Roman" w:cs="Times New Roman" w:eastAsia="Times New Roman"/>
                <w:b w:val="false"/>
                <w:sz w:val="26"/>
              </w:rPr>
              <w:t>Thông tư 05/2021/TT-BTP</w:t>
            </w:r>
          </w:p>
        </w:tc>
        <w:tc>
          <w:p/>
          <w:p>
            <w:pPr>
              <w:spacing w:after="0" w:before="0" w:lineRule="auto" w:line="276"/>
              <w:jc w:val="left"/>
            </w:pPr>
            <w:r>
              <w:rPr>
                <w:rFonts w:ascii="Times New Roman" w:hAnsi="Times New Roman" w:cs="Times New Roman" w:eastAsia="Times New Roman"/>
                <w:b w:val="false"/>
                <w:sz w:val="26"/>
              </w:rPr>
              <w:t>24-06-2021</w:t>
            </w:r>
          </w:p>
        </w:tc>
        <w:tc>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Người đề nghị cấp Chứng chỉ hành nghề luật sư phải có đủ các tiêu chuẩn quy định tại Điều 10 của Luật Luật sư: công dân Việt Nam trung thành với Tổ quốc, tuân thủ Hiến pháp và pháp luật, có phẩm chất đạo đức tốt, có bằng cử nhân luật, đã được đào tạo nghề luật sư, đã qua thời gian tập sự hành nghề luật sư, có sức khoẻ bảo đảm hành nghề luật sư thì có thể trở thành luật sư.
2. Người thuộc trường hợp quy định tại điểm a khoản 1 Điều 2a của Nghị định số 137/2018/NĐ-CP ngày 08/10/2018 của Chính phủ sửa đổi, bổ sung một số điều của Nghị định số 123/2013/NĐ-CP ngày 14/10/2013 của Chính phủ mà quyết định kỷ luật đã chấm dứt hiệu lực hoặc đã hết thời hạn 03 năm, kể từ ngày quyết định kỷ luật buộc thôi việc có hiệu lực hoặc đã hết thời hạn 01 năm, kể từ ngày chấp hành xong quyết định xử lý hành chính hoặc người bị kết án về tội phạm do vô ý hoặc tội phạm ít nghiêm trọng do cố ý mà đã được xóa án tích và không thuộc trường hợp quy định tại điểm b khoản 1 Điều 2a của Nghị định số 137/2018/NĐ-CP, nếu có văn bản giải trình, cam kết về quá trình phấn đấu về việc tuân thủ Hiến pháp và pháp luật, có phẩm chất đạo đức tốt và có xác nhận của cơ quan, tổ chức nơi làm việc cuối cùng của người đó trước thời điểm đề nghị cấp Chứng chỉ hành nghề luật sư hoặc của công an xã, phường, thị trấn nơi người đó cư trú thì được coi là đã sửa chữa, rèn luyện và đáp ứng tiêu chuẩn về tuân thủ Hiến pháp và pháp luật, có phẩm chất đạo đức tốt theo quy định tại Điều 10 của Luật Luật sư. 
3. Người thuộc một trong những trường hợp sau đây thì không được cấp Chứng chỉ hành nghề luật sư:
- Không đủ tiêu chuẩn luật sư quy định tại Điều 10 của Luật Luật sư;
- Đang là cán bộ, công chức, viên chức; sĩ quan, quân nhân chuyên nghiệp, công nhân quốc phòng trong cơ quan, đơn vị thuộc Quân đội nhân dân; sĩ quan, hạ sĩ quan, công nhân trong cơ quan, đơn vị thuộc Công an nhân dân;
- Không thường trú tại Việt Nam;
- Đang bị truy cứu trách nhiệm hình sự; đã bị kết án mà chưa được xoá án tích về tội phạm do vô ý hoặc tội phạm ít nghiêm trọng do cố ý; đã bị kết án về tội phạm nghiêm trọng do cố ý, tội phạm rất nghiêm trọng do cố ý, tội phạm đặc biệt nghiêm trọng do cố ý kể cả trường hợp đã được xóa án tích;
- Đang bị áp dụng biện pháp xử lý hành chính đưa vào cơ sở cai nghiện bắt buộc, cơ sở giáo dục bắt buộc;
- Mất năng lực hành vi dân sự hoặc bị hạn chế năng lực hành vi dân sự;
- Những người đang là cán bộ, công chức, viên chức, sĩ quan, quân nhân chuyên nghiệp, công nhân quốc phòng trong cơ quan, đơn vị thuộc Quân đội nhân dân; sĩ quan, hạ sĩ quan, công nhân trong cơ quan, đơn vị thuộc Công an nhân dân bị buộc thôi việc mà chưa hết thời hạn ba năm, kể từ ngày quyết định buộc thôi việc có hiệu lực.
- Đã bị xử lý hành chính hoặc xử lý kỷ luật hoặc xử lý hình sự hoặc có kết luận của cơ quan có thẩm quyền về một trong các hành vi liên quan đến chiếm đoạt tài sản, trục lợi, gian lận, gian dối, xâm phạm an ninh quốc gia; ứng xử, phát ngôn làm ảnh hưởng đến hình ảnh, uy tín nghề luật sư hoặc gây thiệt hại đến quyền và lợi ích hợp pháp của cơ quan, tổ chức, cá nhân; tham gia, lôi kéo, kích động, mua chuộc, cưỡng ép người khác tập trung đông người để gây rối trật tự công cộng, thực hiện các hành vi vi phạm pháp luật hoặc vi phạm quy định tại điểm b, d, e, g, i hoặc k khoản 1 Điều 9 của Luật Luật sư; vi phạm pháp luật khác do cố ý đã bị xử lý kỷ luật từ hai lần trở lên. 
- Người đã bị xử lý hình sự hoặc xử lý kỷ luật đến mức bị cách chức chức danh thẩm phán, kiểm sát viên, điều tra viên, kiểm tra viên, thẩm tra viên; tước danh hiệu công an nhân dân, tước quân hàm sĩ quan quân đội nhân dân; tước học hàm, học vị giáo sư, phó giáo sư chuyên ngành luật, tiến sỹ luật hoặc đã bị thu hồi quyết định bổ nhiệm vào ngạch chuyên viên cao cấp, nghiên cứu viên cao cấp, giảng viên cao cấp, chuyên viên chính, nghiên cứu viên chính, giảng viên chính trong lĩnh vực pháp luật thì không được miễn đào tạo nghề luật sư, miễn, giảm thời gian tập sự hành nghề luật sư theo quy định tại Điều 13 và Điều 16 của Luật Luật sư.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2025-11-27T16:24:16Z</dcterms:created>
  <dc:creator>Apache POI</dc:creator>
</cp:coreProperties>
</file>