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khai sinh kết hợp đăng ký nhận cha, mẹ, con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đăng ký khai sinh và nhận cha, mẹ, con nộp hồ sơ đăng ký khai sinh và đăng ký nhận cha, mẹ, con tại Trung tâm Phục vụ hành chính công có thẩm quyền; nộp lệ phí nếu thuộc trường hợp phải nộp lệ phí đăng ký khai sinh, đăng ký nhận cha, mẹ, con; nộp phí cấp bản sao Giấy khai sinh, Trích lục đăng ký nhận cha, mẹ, con nếu có yêu cầu cấp bản sao Giấy khai sinh, Trích lục đăng ký nhận cha, mẹ, con.</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có Phiếu hẹn, trả kết quả cho người yêu cầu,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 Sau khi tiếp nhận hồ sơ,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Trường hợp người yêu cầu đăng ký khai sinh và nhận cha, mẹ, con không bổ sung, hoàn thiện được hồ sơ thì cán bộ tiếp nhận hồ sơ báo cáo Lãnh đạo Trung tâm Phục vụ hành chính công có thông báo từ chối giải quyết yêu cầu đăng ký khai sinh và nhận cha, mẹ, con.</w:t>
      </w:r>
    </w:p>
    <w:p>
      <w:pPr>
        <w:spacing w:after="0" w:before="0" w:lineRule="auto" w:line="276"/>
        <w:jc w:val="both"/>
      </w:pPr>
      <w:r>
        <w:rPr>
          <w:rFonts w:ascii="Times New Roman" w:hAnsi="Times New Roman" w:cs="Times New Roman" w:eastAsia="Times New Roman"/>
          <w:b w:val="false"/>
          <w:sz w:val="26"/>
        </w:rPr>
        <w:t>- Công chức tư pháp -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w:t>
      </w:r>
    </w:p>
    <w:p>
      <w:pPr>
        <w:spacing w:after="0" w:before="0" w:lineRule="auto" w:line="276"/>
        <w:jc w:val="both"/>
      </w:pPr>
      <w:r>
        <w:rPr>
          <w:rFonts w:ascii="Times New Roman" w:hAnsi="Times New Roman" w:cs="Times New Roman" w:eastAsia="Times New Roman"/>
          <w:b w:val="false"/>
          <w:sz w:val="26"/>
        </w:rPr>
        <w:t>+ Nếu thấy việc nhận cha, mẹ, con là đúng và không có tranh chấp, thông tin khai sinh đầy đủ và phù hợp, thì công chức tư pháp - hộ tịch thực hiện việc ghi vào Sổ đăng ký nhận cha, mẹ, con, Sổ đăng ký khai sinh, cập nhật thông tin đăng ký khai sinh, đăng ký nhận cha, mẹ, con và lưu chính thức trên Phần mềm đăng ký, quản lý hộ tịch điện tử dùng chung, chuyển thông tin đến CSDLQGVDC để lấy Số định danh cá nhân.</w:t>
      </w:r>
    </w:p>
    <w:p>
      <w:pPr>
        <w:spacing w:after="0" w:before="0" w:lineRule="auto" w:line="276"/>
        <w:jc w:val="both"/>
      </w:pPr>
      <w:r>
        <w:rPr>
          <w:rFonts w:ascii="Times New Roman" w:hAnsi="Times New Roman" w:cs="Times New Roman" w:eastAsia="Times New Roman"/>
          <w:b w:val="false"/>
          <w:sz w:val="26"/>
        </w:rPr>
        <w:t>- Sau khi CSDLQGVDC trả về Số định danh cá nhân, công chức tư pháp - hộ tịch in Giấy khai sinh, Trích lục đăng ký nhận cha, mẹ, con, trình Lãnh đạo Ủy ban nhân dân cấp xã ký, chuyển tới Trung tâm Phục vụ hành chính công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03 ngày làm việc, trường hợp phải xác minh thì không quá 08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bản sao Trích lục đăng ký nhận cha, mẹ, con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khai sinh và nhận cha, mẹ, con thực hiện nộp hồ sơ trực tiếp hoặc gửi hồ sơ qua hệ thống bưu chính đến Trung tâm Phục vụ hành chính công (một bên có thể nộp hồ sơ mà không phải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03 ngày làm việc, trường hợp cần phải xác minh không quá 08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bản sao Trích lục đăng ký nhận cha, mẹ, con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khai sinh và nhận cha, mẹ, con thực hiện nộp hồ sơ trực tiếp hoặc gửi hồ sơ qua hệ thống bưu chính đến Trung tâm Phục vụ hành chính công (một bên có thể nộp hồ sơ mà không phải có văn bản ủy quyền của bên còn lại).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khai sinh theo mẫu;</w:t>
            </w:r>
          </w:p>
        </w:tc>
        <w:tc>
          <w:p/>
          <w:p>
            <w:pPr>
              <w:spacing w:after="0" w:before="0" w:lineRule="auto" w:line="276"/>
              <w:jc w:val="left"/>
            </w:pPr>
            <w:r>
              <w:rPr>
                <w:rFonts w:ascii="Times New Roman" w:hAnsi="Times New Roman" w:cs="Times New Roman" w:eastAsia="Times New Roman"/>
                <w:b w:val="false"/>
                <w:sz w:val="26"/>
              </w:rPr>
              <w:t>1.TKngkkhaisinh.doc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Tờ khai đăng ký nhận cha, mẹ, con theo mẫu;</w:t>
            </w:r>
          </w:p>
        </w:tc>
        <w:tc>
          <w:p/>
          <w:p>
            <w:pPr>
              <w:spacing w:after="0" w:before="0" w:lineRule="auto" w:line="276"/>
              <w:jc w:val="left"/>
            </w:pPr>
            <w:r>
              <w:rPr>
                <w:rFonts w:ascii="Times New Roman" w:hAnsi="Times New Roman" w:cs="Times New Roman" w:eastAsia="Times New Roman"/>
                <w:b w:val="false"/>
                <w:sz w:val="26"/>
              </w:rPr>
              <w:t>6.TKngknhnCMC.doc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chính Giấy chứng sinh; trường hợp không có Giấy chứng sinh thì nộp văn bản của người làm chứng xác nhận về việc sinh; nếu không có người làm chứng thì phải có giấy cam đoan về việc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đã nộp bản điện tử Giấy chứng sinh hoặc cơ quan đăng ký hộ tịch đã khai thác được dữ liệu điện tử có ký số của Giấy chứng sinh thì không phải nộp bản giấy.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Chứng cứ chứng minh quan hệ cha, con hoặc quan hệ mẹ, con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y tế, cơ quan giám định hoặc cơ quan khác có thẩm quyền xác nhận quan hệ cha con, quan hệ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không có văn bản nêu trên thì phải có văn bản cam đoan của các bên nhận cha, mẹ, con về mối quan hệ cha, mẹ, con và có ít nhất hai người làm chứng về mối quan hệ cha,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nhận cha, mẹ, con.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chứng thực từ bản chính hoặc bản sao được cấp từ sổ gốc hoặc bản chụp kèm theo bản chính giấy tờ để đối chiếu. Trường hợp người yêu cầu nộp bản chụp kèm theo bản chính giấy tờ thì người tiếp nhận có trách nhiệm kiểm tra, đối chiếu bản chụp với bản chính và ký xác nhận, không được yêu cầu người đi đăng ký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Cơ quan đăng ký hộ tịch từ chối giải quyết hoặc đề nghị cơ quan có thẩm quyền hủy bỏ kết quả đăng ký hộ tịch, nếu có cơ sở xác định nội dung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việc xác định họ, dân tộc, quê quán, đặt tên cho trẻ: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Việc xác định họ, dân tộc, đặt tên cho trẻ em phải phù hợp với pháp luật và yêu cầu giữ gìn bản sắc dân tộc, tập quán, truyền thống văn hóa tốt đẹp của Việt Nam; không đặt tên quá dài, khó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cha, mẹ không thỏa thuận được về họ, dân tộc, quê quán của con khi đăng ký khai sinh thì họ, dân tộc, quê quán của con được xác định theo tập quán nhưng phải bảo đảm theo họ, dân tộc, quê quán của cha hoặc mẹ.</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khai sinh, Trích lục đăng ký nhận cha, mẹ, con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Bên nhận và bên được nhận là cha, mẹ, con đều còn sống;
- Việc nhận cha, mẹ, con không có tranh chấp. 
- Trường hợp nam, nữ chung sống với nhau như vợ chồng, không đăng ký kết hôn, sinh con, người con sống cùng với người cha, khi người cha làm thủ tục nhận con mà không liên hệ được với người mẹ thì không cần có ý kiến của người mẹ trong Tờ khai đăng ký nhận cha, mẹ, con.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2025-11-27T16:24:16Z</dcterms:created>
  <dc:creator>Apache POI</dc:creator>
</cp:coreProperties>
</file>