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E</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E đã được khai hoàn chỉnh (Phụ lục II ban hành kèm theo Thông tư số 12/2019/TT-BCT ngày 30/7/2019);</w:t>
            </w:r>
          </w:p>
        </w:tc>
        <w:tc>
          <w:p/>
          <w:p>
            <w:pPr>
              <w:spacing w:after="0" w:before="0" w:lineRule="auto" w:line="276"/>
              <w:jc w:val="left"/>
            </w:pPr>
            <w:r>
              <w:rPr>
                <w:rFonts w:ascii="Times New Roman" w:hAnsi="Times New Roman" w:cs="Times New Roman" w:eastAsia="Times New Roman"/>
                <w:b w:val="false"/>
                <w:sz w:val="26"/>
              </w:rPr>
              <w:t>pl e.doc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của Bộ Công Thương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E</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2025-11-27T16:24:15Z</dcterms:created>
  <dc:creator>Apache POI</dc:creator>
</cp:coreProperties>
</file>