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hoạt động cung ứng dịch vụ trung gian thanh toán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lập hồ sơ gửi Ngân hàng Nhà nước đề nghị cấp Giấy phép hoạt động cung ứng dịch vụ trung gian thanh toán.
- Bước 2. Căn cứ vào hồ sơ đề nghị cấp Giấy phép, Ngân hàng Nhà nước phối hợp với các bộ, cơ quan liên quan tiến hành xem xét hồ sơ, cụ thể:
Trong thời hạn 05 ngày làm việc kể từ ngày nhận được hồ sơ đề nghị cấp Giấy phép, Ngân hàng Nhà nước có văn bản gửi tổ chức xác nhận đã nhận đầy đủ thành phần hồ sơ hợp lệ. Trường hợp thành phần hồ sơ không đầy đủ và hợp lệ, Ngân hàng Nhà nước có văn bản gửi tổ chức yêu cầu bổ sung, hoàn thiện thành phần hồ sơ. Thời gian bổ sung, hoàn thiện thành phần hồ sơ không tính vào thời gian thẩm định hồ sơ. 
Trong thời hạn 60 ngày kể từ ngày Ngân hàng Nhà nước có văn bản yêu cầu bổ sung thành phần hồ sơ nhưng tổ chức đề nghị cấp Giấy phép không gửi lại hồ sơ hoặc hồ sơ bổ sung của tổ chức không đáp ứng thành phần thì Ngân hàng Nhà nước có văn bản trả lại hồ sơ cho tổ chức; 
- Bước 3. Trong thời hạn 90 ngày làm việc kể từ ngày nhận đầy đủ thành phần hồ sơ hợp lệ, Ngân hàng Nhà nước tiến hành thẩm định hồ sơ. 
Trong thời hạn 60 ngày kể từ ngày Ngân hàng Nhà nước có văn bản yêu cầu giải trình, hoàn thiện hồ sơ mà tổ chức không gửi lại hồ sơ thì Ngân hàng Nhà nước có văn bản trả lại hồ sơ cho tổ chức. 
Trong thời hạn 90 ngày làm việc kể từ ngày nhận được hồ sơ bổ sung, hoàn thiện của tổ chức, Ngân hàng Nhà nước tiến hành thẩm định, cấp Giấy phép theo quy định. Trường hợp không cấp Giấy phép, Ngân hàng Nhà nước có văn bản trả lời tổ chức, trong đó nêu rõ lý do; 
Kể từ ngày Ngân hàng Nhà nước nhận đầy đủ thành phần hồ sơ hợp lệ, tổ chức đề nghị cấp Giấy phép được tự gửi bổ sung, hoàn thiện hồ sơ tối đa 02 lần; thời gian nộp hồ sơ tự bổ sung, hoàn thiện của tổ chức tối đa không vượt quá 60 ngày kể từ ngày Ngân hàng Nhà nước có văn bản gửi tổ chức xác nhận đã nhận đầy đủ thành phần hồ sơ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90 Ngày làm việc</w:t>
            </w:r>
          </w:p>
        </w:tc>
        <w:tc>
          <w:p/>
          <w:p>
            <w:pPr>
              <w:spacing w:after="0" w:before="0" w:lineRule="auto" w:line="276"/>
              <w:jc w:val="left"/>
            </w:pPr>
            <w:r>
              <w:rPr>
                <w:rFonts w:ascii="Times New Roman" w:hAnsi="Times New Roman" w:cs="Times New Roman" w:eastAsia="Times New Roman"/>
                <w:b w:val="false"/>
                <w:sz w:val="26"/>
              </w:rPr>
              <w:t>Lệ phí : 10.000.000 Đồng</w:t>
            </w:r>
          </w:p>
        </w:tc>
        <w:tc>
          <w:p/>
          <w:p>
            <w:pPr>
              <w:spacing w:after="0" w:before="0" w:lineRule="auto" w:line="276"/>
              <w:jc w:val="left"/>
            </w:pPr>
            <w:r>
              <w:rPr>
                <w:rFonts w:ascii="Times New Roman" w:hAnsi="Times New Roman" w:cs="Times New Roman" w:eastAsia="Times New Roman"/>
                <w:b w:val="false"/>
                <w:sz w:val="26"/>
              </w:rPr>
              <w:t>90 ngày làm việc kể từ ngày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90 Ngày làm việc</w:t>
            </w:r>
          </w:p>
        </w:tc>
        <w:tc>
          <w:p/>
          <w:p>
            <w:pPr>
              <w:spacing w:after="0" w:before="0" w:lineRule="auto" w:line="276"/>
              <w:jc w:val="left"/>
            </w:pPr>
            <w:r>
              <w:rPr>
                <w:rFonts w:ascii="Times New Roman" w:hAnsi="Times New Roman" w:cs="Times New Roman" w:eastAsia="Times New Roman"/>
                <w:b w:val="false"/>
                <w:sz w:val="26"/>
              </w:rPr>
              <w:t>Lệ phí : 10.000.000 Đồng</w:t>
            </w:r>
          </w:p>
        </w:tc>
        <w:tc>
          <w:p/>
          <w:p>
            <w:pPr>
              <w:spacing w:after="0" w:before="0" w:lineRule="auto" w:line="276"/>
              <w:jc w:val="left"/>
            </w:pPr>
            <w:r>
              <w:rPr>
                <w:rFonts w:ascii="Times New Roman" w:hAnsi="Times New Roman" w:cs="Times New Roman" w:eastAsia="Times New Roman"/>
                <w:b w:val="false"/>
                <w:sz w:val="26"/>
              </w:rPr>
              <w:t>90 ngày làm việc kể từ ngày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90 Ngày làm việc</w:t>
            </w:r>
          </w:p>
        </w:tc>
        <w:tc>
          <w:p/>
          <w:p>
            <w:pPr>
              <w:spacing w:after="0" w:before="0" w:lineRule="auto" w:line="276"/>
              <w:jc w:val="left"/>
            </w:pPr>
            <w:r>
              <w:rPr>
                <w:rFonts w:ascii="Times New Roman" w:hAnsi="Times New Roman" w:cs="Times New Roman" w:eastAsia="Times New Roman"/>
                <w:b w:val="false"/>
                <w:sz w:val="26"/>
              </w:rPr>
              <w:t>Lệ phí : 10.000.000 Đồng</w:t>
            </w:r>
          </w:p>
        </w:tc>
        <w:tc>
          <w:p/>
          <w:p>
            <w:pPr>
              <w:spacing w:after="0" w:before="0" w:lineRule="auto" w:line="276"/>
              <w:jc w:val="left"/>
            </w:pPr>
            <w:r>
              <w:rPr>
                <w:rFonts w:ascii="Times New Roman" w:hAnsi="Times New Roman" w:cs="Times New Roman" w:eastAsia="Times New Roman"/>
                <w:b w:val="false"/>
                <w:sz w:val="26"/>
              </w:rPr>
              <w:t>90 ngày làm việc kể từ ngày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hoạt động cung ứng dịch vụ trung gian thanh toán theo Mẫu số 07 ban hành kèm theo Nghị định 52/2024/NĐ-CP ngày 15/5/2024;</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Nghị quyết của Hội đồng thành viên, Hội đồng quản trị, Đại hội đồng cổ đông, văn bản của người đại diện có thẩm quyền của chủ sở hữu phù hợp với thẩm quyền quy định tại Điều lệ công ty về việc thông qua Đề án cung ứng dịch vụ trung gian thanh toán và Bản thuyết minh giải pháp kỹ thuật;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Đề án cung ứng dịch vụ trung gian thanh toán theo Mẫu số 08 ban hành kèm theo Nghị định 52/2024/NĐ-CP ngày 15/5/2024;</w:t>
            </w:r>
          </w:p>
        </w:tc>
        <w:tc>
          <w:p/>
          <w:p>
            <w:pPr>
              <w:spacing w:after="0" w:before="0" w:lineRule="auto" w:line="276"/>
              <w:jc w:val="left"/>
            </w:pPr>
            <w:r>
              <w:rPr>
                <w:rFonts w:ascii="Times New Roman" w:hAnsi="Times New Roman" w:cs="Times New Roman" w:eastAsia="Times New Roman"/>
                <w:b w:val="false"/>
                <w:sz w:val="26"/>
              </w:rPr>
              <w:t>Mẫu số 08.docx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thuyết minh giải pháp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Hồ sơ về nhân sự: sơ yếu lý lịch theo Mẫu số 09 ban hành kèm theo Nghị định 52/2024/NĐ-CP ngày 15/5/2024, bản sao các văn bằng chứng minh năng lực, trình độ chuyên môn nghiệp vụ của người đại diện theo pháp luật, Tổng Giám đốc (Giám đốc), Phó Tổng Giám đốc (Phó Giám đốc) và các cán bộ chủ chốt thực hiện Đề án cung ứng dịch vụ trung gian thanh toán; phiếu lý lịch tư pháp hoặc văn bản có giá trị tương đương của người đại diện theo pháp luật, Tổng Giám đốc (Giám đốc) theo quy định của pháp luật (trước thời điểm nộp hồ sơ đề nghị cấp Giấy phép không quá 06 tháng); văn bản của người đại diện có thẩm quyền của đơn vị nơi người đại diện theo pháp luật, Tổng Giám đốc (Giám đốc) đã hoặc đang làm việc xác nhận chức vụ và thời gian đảm nhận chức vụ hoặc bản sao văn bản chứng minh chức vụ và thời gian đảm nhiệm chức vụ tại đơn vị của người đại diện theo pháp luật, Tổng Giám đốc (Giám đốc);</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sao các tài liệu chứng minh tổ chức đề nghị cấp Giấy phép được thành lập và hoạt động hợp pháp, gồm: giấy phép thành lập hoặc giấy chứng nhận đăng ký doanh nghiệp hoặc giấy tờ có giá trị tương đương; Điều lệ tổ chức và hoạt động của tổ chức; giấy chứng nhận đầu tư của nhà đầu tư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Văn bản cam kết và tài liệu chứng minh của chủ sở hữu, thành viên sáng lập, cổ đông sáng lập của tổ chức về việc đảm bảo duy trì giá trị thực có của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Đối với dịch vụ chuyển mạch tài chính, dịch vụ bù trừ điện tử: phương án được một tổ chức thực hiện quyết toán kết quả bù trừ giữa các bên liên quan quy định tại Mẫu số 08 ban hành kèm theo Nghị định 52/2024/NĐ-CP; văn bản thỏa thuận kết nối với các tổ chức tham gia, có nội dung cam kết không được kết nối quá 02 tổ chức cung ứng dịch vụ chuyển mạch tài chính, dịch vụ bù trừ điện tử; tài liệu chứng minh cơ sở hạ tầng thông tin, hệ thống máy chủ đáp ứng quy định tại điểm g khoản 2 Điều 22 Nghị định 52/2024/NĐ-CP ngày 15/5/2024;</w:t>
            </w:r>
          </w:p>
        </w:tc>
        <w:tc>
          <w:p/>
          <w:p>
            <w:pPr>
              <w:spacing w:after="0" w:before="0" w:lineRule="auto" w:line="276"/>
              <w:jc w:val="left"/>
            </w:pPr>
            <w:r>
              <w:rPr>
                <w:rFonts w:ascii="Times New Roman" w:hAnsi="Times New Roman" w:cs="Times New Roman" w:eastAsia="Times New Roman"/>
                <w:b w:val="false"/>
                <w:sz w:val="26"/>
              </w:rPr>
              <w:t>Mẫu số 08.docx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Đối với dịch vụ chuyển mạch tài chính quốc tế: Quy định nội bộ về tiêu chuẩn lựa chọn hệ thống thanh toán quốc tế để kết nối thực hiện chuyển mạch tài chính các giao dịch thanh toán quốc tế; quy định nội bộ về quy trình nghiệp vụ với các biện pháp quản lý rủi ro đối với dịch vụ chuyển mạch tài chính quốc tế đề nghị cấp phép; bản sao tài liệu chứng minh tổ chức vận hành hệ thống thanh toán quốc tế được thành lập và hoạt động hợp pháp ở nước ngoài do cơ quan có thẩm quyền của quốc gia, vùng lãnh thổ nơi tổ chức thành lập hoặc đặt trụ sở chính cấp; phương án được một tổ chức thực hiện quyết toán kết quả bù trừ giữa các bên liên quan quy định tại Mẫu số 08 ban hành kèm theo Nghị định 52/2024/NĐ-CP ngày 15/5/2024.</w:t>
            </w:r>
          </w:p>
        </w:tc>
        <w:tc>
          <w:p/>
          <w:p>
            <w:pPr>
              <w:spacing w:after="0" w:before="0" w:lineRule="auto" w:line="276"/>
              <w:jc w:val="left"/>
            </w:pPr>
            <w:r>
              <w:rPr>
                <w:rFonts w:ascii="Times New Roman" w:hAnsi="Times New Roman" w:cs="Times New Roman" w:eastAsia="Times New Roman"/>
                <w:b w:val="false"/>
                <w:sz w:val="26"/>
              </w:rPr>
              <w:t>Mẫu số 08.docx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cung ứng dịch vụ trung gian thanh toán.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52/2024/NĐ-CP</w:t>
            </w:r>
          </w:p>
        </w:tc>
        <w:tc>
          <w:p/>
          <w:p>
            <w:pPr>
              <w:spacing w:after="0" w:before="0" w:lineRule="auto" w:line="276"/>
              <w:jc w:val="left"/>
            </w:pPr>
            <w:r>
              <w:rPr>
                <w:rFonts w:ascii="Times New Roman" w:hAnsi="Times New Roman" w:cs="Times New Roman" w:eastAsia="Times New Roman"/>
                <w:b w:val="false"/>
                <w:sz w:val="26"/>
              </w:rPr>
              <w:t>Nghị định quy định về thanh toán không dùng tiền mặt</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giấy phép thành lập hoặc giấy chứng nhận đăng ký doanh nghiệp do cơ quan nhà nước có thẩm quyền cấp và không đang trong quá trình chia, tách, hợp nhất, sáp nhập, chuyển đổi, giải thể, phá sản theo quyết định đã được ban hành trong quá trình đề nghị cấp Giấy phép hoạt động cung ứng dịch vụ trung gian thanh toán; trường hợp cung ứng dịch vụ chuyển mạch tài chính, dịch vụ bù trừ điện tử, tổ chức phải đảm bảo không kinh doanh ngành nghề khác ngoài hoạt động cung ứng dịch vụ trung gian thanh toán;
b) Có vốn điều lệ thực góp hoặc được cấp tối thiểu: 50 tỷ đồng đối với dịch vụ ví điện tử, dịch vụ hỗ trợ thu hộ, chi hộ và dịch vụ cổng thanh toán điện tử; 300 tỷ đồng đối với dịch vụ chuyển mạch tài chính, dịch vụ chuyển mạch tài chính quốc tế, dịch vụ bù trừ điện tử; chịu hoàn toàn trách nhiệm về tính hợp pháp của nguồn vốn đã góp hoặc vốn được cấp;
c) Có Đề án cung ứng dịch vụ trung gian thanh toán được cấp có thẩm quyền theo quy định tại Điều lệ của tổ chức phê duyệt theo Mẫu số 08 ban hành kèm theo Nghị định 52/2024/NĐ-CP ngày 15/5/2024;
d) Điều kiện về nhân sự: Người đại diện theo pháp luật, Tổng Giám đốc (Giám đốc) của tổ chức phải có bằng đại học trở lên về một trong các ngành kinh tế, quản trị kinh doanh, luật, công nghệ thông tin và có ít nhất 05 năm kinh nghiệm là người quản lý, người điều hành của tổ chức trong lĩnh vực tài chính, ngân hàng và không thuộc những đối tượng bị cấm theo quy định của pháp luật;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
Phó Tổng Giám đốc (Phó Giám đốc) và các cán bộ chủ chốt thực hiện Đề án cung ứng dịch vụ trung gian thanh toán (gồm Trưởng phòng (ban) hoặc tương đương và các cán bộ kỹ thuật) có bằng cao đẳng trở lên về một trong các ngành kinh tế, quản trị kinh doanh, luật, công nghệ thông tin hoặc lĩnh vực chuyên môn đảm nhiệm;
đ) Có Bản thuyết minh giải pháp kỹ thuật phục vụ cho hoạt động cung ứng dịch vụ trung gian thanh toán đề nghị cấp Giấy phép được cấp có thẩm quyền theo quy định tại Điều lệ của tổ chức phê duyệt đáp ứng yêu cầu đảm bảo an toàn hệ thống thông tin cấp độ 3 theo quy định của pháp luật;
e) Đối với dịch vụ ví điện tử và dịch vụ hỗ trợ thu hộ, chi hộ cho các khách hàng có tài khoản tại nhiều ngân hàng, chi nhánh ngân hàng nước ngoài, tổ chức cung ứng dịch vụ phải được một tổ chức cung ứng dịch vụ chuyển mạch tài chính và dịch vụ bù trừ điện tử được Ngân hàng Nhà nước cấp phép để thực hiện chuyển mạch giao dịch tài chính và xử lý bù trừ các nghĩa vụ phát sinh trong quá trình cung ứng dịch vụ trung gian thanh toán của tổ chức;
g) Đối với dịch vụ chuyển mạch tài chính, dịch vụ bù trừ điện tử, ngoài các điều kiện quy định tại điểm a, điểm b, điểm c, điểm d và điểm đ nêu trên, tổ chức cung ứng dịch vụ phải: được một tổ chức thực hiện quyết toán kết quả bù trừ giữa các bên liên quan; có thỏa thuận kết nối với ít nhất 50 ngân hàng, chi nhánh ngân hàng nước ngoài có tổng vốn điều lệ trong năm liền kề trước năm nộp hồ sơ đề nghị cấp Giấy phép chiếm trên 65% tổng vốn điều lệ của các ngân hàng, chi nhánh ngân hàng nước ngoài trong hệ thống các tổ chức tín dụng và ít nhất 20 tổ chức cung ứng dịch vụ trung gian thanh toán; có cơ sở hạ tầng thông tin đáp ứng tối thiểu theo yêu cầu về bảo đảm an toàn hệ thống thông tin cấp độ 4 theo quy định của pháp luật, đảm bảo khả năng tích hợp, kết nối được với hệ thống kỹ thuật của tổ chức tham gia có thỏa thuận kết nối; có hệ thống máy chủ thực hiện theo quy định pháp luật và đáp ứng năng lực xử lý tối thiểu 10 triệu giao dịch thanh toán/ngày;
Tổ chức tham gia không được kết nối quá 02 tổ chức cung ứng dịch vụ chuyển mạch tài chính, dịch vụ bù trừ điện tử;
h) Đối với dịch vụ chuyển mạch tài chính quốc tế, tổ chức cung ứng dịch vụ phải có Giấy phép hoạt động cung ứng dịch vụ trung gian thanh toán chuyển mạch tài chính còn hiệu lực; được một tổ chức thực hiện quyết toán kết quả bù trừ giữa các bên liên quan; có quy định nội bộ về tiêu chuẩn lựa chọn kết nối các hệ thống thanh toán quốc tế để thực hiện chuyển mạch tài chính các giao dịch thanh toán quốc tế; có quy định nội bộ về quy trình nghiệp vụ kỹ thuật đối với dịch vụ chuyển mạch tài chính quốc tế đề nghị cấp phép và tổ chức vận hành hệ thống thanh toán quốc tế kết nối với tổ chức cung ứng dịch vụ chuyển mạch tài chính quốc tế phải được thành lập và hoạt động hợp pháp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2025-11-27T16:25:49Z</dcterms:created>
  <dc:creator>Apache POI</dc:creator>
</cp:coreProperties>
</file>