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1.000763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mua bán, chuyển nhượng phần vốn góp giữa các thành viên góp vốn hiện tại và thành viên góp vốn mới (bên mua, bên nhận chuyển nhượng) của tổ chức tài chính vi mô là công ty trách nhiệm hữu hạn hai thành viên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 Bước 2: Trong thời hạn 30 ngày kể từ ngày nhận đủ hồ sơ hợp lệ, Ngân hàng Nhà nước xem xét chấp thuận đề nghị mua bán, chuyển nhượng phần vốn góp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mua bán, chuyển nhượng phần vốn góp, trong đó nêu rõ: + Tên, địa chỉ trụ sở chính của bên bán, bên mua, bên chuyển nhượng và bên nhận chuyển nhượng; tỷ lệ mua bán, chuyển nhượng phần vốn góp; tỷ lệ sở hữu và giá trị phần vốn góp của các thành viên góp vốn trước và sau khi mua bán, chuyển nhượng phần vốn góp; + Lý do mua bán, chuyển nhượng; + Thời điểm dự kiến thực hiện mua bán, chuyển nhượng;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của Hội đồng thành viên thông qua việc mua bán,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cam kết mua bán, chuyển nhượng phần vốn góp giữa thành viên góp vốn hiện tại và thành viên góp vốn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bên mua, bên nhận chuyển nhượng cam kết sử dụng nguồn tiền hợp pháp để mua, nhận chuyển nhượng phần vốn góp;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văn bản, tài liệu chứng minh việc đáp ứng các điều kiện về thành viên góp vốn và tỷ lệ sở hữu vốn góp theo quy định của Ngân hàng Nhà nước về cấp Giấy phép, tổ chức và hoạt động của tổ chức tài chính vi mô,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thành viên góp vốn mới là tổ chức: (i) Giấy phép thành lập hoặc chứng nhận đăng ký doanh nghiệp hoặc văn bản tương đương;  (ii) Điều lệ của tổ chức;  (iii) Văn bản ủy quyền người đại diện vốn góp tại tổ chức tài chính vi mô theo quy định của pháp luật;  (iv) Sơ yếu lý lịch của người đại diện vốn góp theo mẫu quy định tại Phụ lục số 11 ban hành kèm theo Thông tư số 24/2023/TT-NHNN, lý lịch tư pháp theo quy định của pháp luật (bao gồm án tích đã được xóa và án tích chưa được xóa);  Việc xác nhận Sơ yếu lý lịch của tổ chức, cá nhân được thực hiện trên cơ sở khai thác dữ liệu cư trú của công dân trên Cơ sở dữ liệu quốc gia về dân cư hoặc kiểm tra ứng dụng VNeID theo hướng dẫn của Bộ Công an; không yêu cầu tổ chức, cá nhân nộp, xuất trình sổ hộ khẩu, sổ tạm trú giấy theo đúng quy định tại Điều 14 Nghị định số 104/2022/NĐ-CP của Chính phủ. (v) Bản sao hộ chiếu hoặc giấy tờ có giá trị thay thế hộ chiếu (đối với cá nhân không có quốc tịch Việt Nam) của người đại diện hợp pháp của tổ chức và người đại diện vốn góp tại tổ chức tài chính vi mô;  (vi) Báo cáo tài chính đã được kiểm toán độc lập của năm liền kề năm nộp hồ sơ và Báo cáo tài chính đến thời điểm gần nhất (Báo cáo tài chính giữa niên độ hoặc báo cáo tài chính năm chưa kiểm toán độc lập) tính đến thời điểm nộp hồ sơ đề nghị nhận chuyển nhượng phần vốn góp (đối với thành viên góp vốn mới là doanh nghiệp);  (vii) Báo cáo hoạt động trong 02 năm liên tiếp liền kề trước năm nộp hồ sơ (đối với thành viên góp vốn mới không phải là doanh nghiệp);  (viii) Văn bản của cơ quan có thẩm quyền của nước nguyên xứ cung cấp thông tin về tình hình tuân thủ pháp luật về hoạt động ngân hàng và các quy định pháp luật khác trong vòng 05 năm liên tiếp liền kề năm nộp hồ sơ đề nghị mua, nhận chuyển nhượng phần vốn góp (đối với thành viên góp vốn mới là ngân hàng nước ngoài);  (ix) Bảng kê khai người có liên quan của tổ chức theo mẫu quy định tại Phụ lục số 12 ban hành kèm theo Thông tư số 24/2023/TT-NHNN;</w:t>
            </w:r>
          </w:p>
        </w:tc>
        <w:tc>
          <w:p/>
          <w:p>
            <w:pPr>
              <w:spacing w:after="0" w:before="0" w:lineRule="auto" w:line="276"/>
              <w:jc w:val="left"/>
            </w:pPr>
            <w:r>
              <w:rPr>
                <w:rFonts w:ascii="Times New Roman" w:hAnsi="Times New Roman" w:cs="Times New Roman" w:eastAsia="Times New Roman"/>
                <w:b w:val="false"/>
                <w:sz w:val="26"/>
              </w:rPr>
              <w:t>Phu luc so 11 TT 24.2023.docx</w:t>
            </w:r>
          </w:p>
          <w:p>
            <w:pPr>
              <w:spacing w:after="0" w:before="0" w:lineRule="auto" w:line="276"/>
              <w:jc w:val="left"/>
            </w:pPr>
            <w:r>
              <w:rPr>
                <w:rFonts w:ascii="Times New Roman" w:hAnsi="Times New Roman" w:cs="Times New Roman" w:eastAsia="Times New Roman"/>
                <w:b w:val="false"/>
                <w:sz w:val="26"/>
              </w:rPr>
              <w:t>Phu luc so 12 TT 24.2023.docx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Hồ sơ thành viên góp vốn mới là cá nhân: (i) Sơ yếu lý lịch theo mẫu quy định tại Phụ lục số 11 ban hành kèm theo Thông tư số 24/2023/TT-NHNN, lý lịch tư pháp theo quy định của pháp luật;  Việc xác nhận Sơ yếu lý lịch của tổ chức, cá nhân được thực hiện trên cơ sở khai thác dữ liệu cư trú của công dân trên Cơ sở dữ liệu quốc gia về dân cư hoặc kiểm tra ứng dụng VNeID theo hướng dẫn của Bộ Công an; không yêu cầu tổ chức, cá nhân nộp, xuất trình sổ hộ khẩu, sổ tạm trú giấy theo đúng quy định tại Điều 14 Nghị định số 104/2022/NĐ-CP của Chính phủ. (ii) Bản kê khai người có liên quan của cá nhân theo mẫu quy định tại Phụ lục số 12 ban hành kèm theo Thông tư Thông tư số 24/2023/TT-NHNN.</w:t>
            </w:r>
          </w:p>
        </w:tc>
        <w:tc>
          <w:p/>
          <w:p>
            <w:pPr>
              <w:spacing w:after="0" w:before="0" w:lineRule="auto" w:line="276"/>
              <w:jc w:val="left"/>
            </w:pPr>
            <w:r>
              <w:rPr>
                <w:rFonts w:ascii="Times New Roman" w:hAnsi="Times New Roman" w:cs="Times New Roman" w:eastAsia="Times New Roman"/>
                <w:b w:val="false"/>
                <w:sz w:val="26"/>
              </w:rPr>
              <w:t>Phu luc so 11 TT 24.2023.docx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mua bán, chuyển nhượng phần vốn góp giữa các thành viên góp vốn hiện tại và thành viên góp vốn mới (bên mua, bên nhận chuyển nhượng) của tổ chức tài chính vi mô là công ty trách nhiệm hữu hạn hai thành viên trở lên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47/2010/QH12</w:t>
            </w:r>
          </w:p>
        </w:tc>
        <w:tc>
          <w:p/>
          <w:p>
            <w:pPr>
              <w:spacing w:after="0" w:before="0" w:lineRule="auto" w:line="276"/>
              <w:jc w:val="left"/>
            </w:pPr>
            <w:r>
              <w:rPr>
                <w:rFonts w:ascii="Times New Roman" w:hAnsi="Times New Roman" w:cs="Times New Roman" w:eastAsia="Times New Roman"/>
                <w:b w:val="false"/>
                <w:sz w:val="26"/>
              </w:rPr>
              <w:t>Các tổ chức tín dụng</w:t>
            </w:r>
          </w:p>
        </w:tc>
        <w:tc>
          <w:p/>
          <w:p>
            <w:pPr>
              <w:spacing w:after="0" w:before="0" w:lineRule="auto" w:line="276"/>
              <w:jc w:val="left"/>
            </w:pPr>
            <w:r>
              <w:rPr>
                <w:rFonts w:ascii="Times New Roman" w:hAnsi="Times New Roman" w:cs="Times New Roman" w:eastAsia="Times New Roman"/>
                <w:b w:val="false"/>
                <w:sz w:val="26"/>
              </w:rPr>
              <w:t>16-06-2010</w:t>
            </w:r>
          </w:p>
        </w:tc>
        <w:tc>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17/2017/QH14</w:t>
            </w:r>
          </w:p>
        </w:tc>
        <w:tc>
          <w:p/>
          <w:p>
            <w:pPr>
              <w:spacing w:after="0" w:before="0" w:lineRule="auto" w:line="276"/>
              <w:jc w:val="left"/>
            </w:pPr>
            <w:r>
              <w:rPr>
                <w:rFonts w:ascii="Times New Roman" w:hAnsi="Times New Roman" w:cs="Times New Roman" w:eastAsia="Times New Roman"/>
                <w:b w:val="false"/>
                <w:sz w:val="26"/>
              </w:rPr>
              <w:t>20-11-2017</w:t>
            </w:r>
          </w:p>
        </w:tc>
        <w:tc>
          <w:p/>
        </w:tc>
      </w:tr>
      <w:tr>
        <w:tc>
          <w:p/>
          <w:p>
            <w:pPr>
              <w:spacing w:after="0" w:before="0" w:lineRule="auto" w:line="276"/>
              <w:jc w:val="left"/>
            </w:pPr>
            <w:r>
              <w:rPr>
                <w:rFonts w:ascii="Times New Roman" w:hAnsi="Times New Roman" w:cs="Times New Roman" w:eastAsia="Times New Roman"/>
                <w:b w:val="false"/>
                <w:sz w:val="26"/>
              </w:rPr>
              <w:t>Thông tư 24/2023/TT-NHNN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liên quan đến việc nộp, xuất trình, cung cấp thông tin, giấy tờ về dân cư khi thực hiện thủ tục hành chính trong lĩnh vực thành lập và hoạt động ngân hàng</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https://thutuc.dichvucong.gov.vn/p/home/dvc-tthc-thu-tuc-hanh-chinh-chi-tiet.html?ma_thu_tuc=1110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2025-11-27T16:25:54Z</dcterms:created>
  <dc:creator>Apache POI</dc:creator>
</cp:coreProperties>
</file>