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này áp dụng cho trương hợp Giấy phép đã được cấp bị mất, bị tiêu hủy toàn bộ hoặc một phần, bị rách, nát hoặc bị cháy. (Trường hợp Giấy phép sản xuất thuốc lá hết hiệu lực, Hồ sơ, thẩm quyền, trình tự, thủ tục cấp lại như đối với trường hợp cấp lần đầu).</w:t>
      </w:r>
    </w:p>
    <w:p>
      <w:pPr>
        <w:spacing w:after="0" w:before="0" w:lineRule="auto" w:line="276"/>
        <w:jc w:val="both"/>
      </w:pPr>
      <w:r>
        <w:rPr>
          <w:rFonts w:ascii="Times New Roman" w:hAnsi="Times New Roman" w:cs="Times New Roman" w:eastAsia="Times New Roman"/>
          <w:b w:val="false"/>
          <w:sz w:val="26"/>
        </w:rPr>
        <w:t>- Doanh nghiệp sản xuất thuốc lá nộp 01 bộ hồ sơ đề nghị cấp lại Giấy phép sản xuất sản phẩm thuốc lá cho Bộ Công Thương</w:t>
      </w:r>
    </w:p>
    <w:p>
      <w:pPr>
        <w:spacing w:after="0" w:before="0" w:lineRule="auto" w:line="276"/>
        <w:jc w:val="both"/>
      </w:pPr>
      <w:r>
        <w:rPr>
          <w:rFonts w:ascii="Times New Roman" w:hAnsi="Times New Roman" w:cs="Times New Roman" w:eastAsia="Times New Roman"/>
          <w:b w:val="false"/>
          <w:sz w:val="26"/>
        </w:rPr>
        <w:t>- Trong thời hạn 15 ngày làm việc kể từ ngày nhận đủ hồ sơ hợp lệ, cơ quan có thẩm quyền xem xét và cấp lại Giấy phép sản xuất sản phẩm thuốc lá.</w:t>
      </w:r>
    </w:p>
    <w:p>
      <w:pPr>
        <w:spacing w:after="0" w:before="0" w:lineRule="auto" w:line="276"/>
        <w:jc w:val="both"/>
      </w:pPr>
      <w:r>
        <w:rPr>
          <w:rFonts w:ascii="Times New Roman" w:hAnsi="Times New Roman" w:cs="Times New Roman" w:eastAsia="Times New Roman"/>
          <w:b w:val="false"/>
          <w:sz w:val="26"/>
        </w:rPr>
        <w:t>- Trường hợp doanh nghiệp không đáp ứng được điều kiện theo quy định, Bộ Công Thương sẽ có văn bản trả lời từ chối cấp phép và nêu rõ lý do.</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sản xuất sản phẩm thuốc lá đã được cấp hết thời hạn hiệu lực.</w:t>
      </w:r>
    </w:p>
    <w:p>
      <w:pPr>
        <w:spacing w:after="0" w:before="0" w:lineRule="auto" w:line="276"/>
        <w:jc w:val="both"/>
      </w:pPr>
      <w:r>
        <w:rPr>
          <w:rFonts w:ascii="Times New Roman" w:hAnsi="Times New Roman" w:cs="Times New Roman" w:eastAsia="Times New Roman"/>
          <w:b w:val="false"/>
          <w:sz w:val="26"/>
        </w:rPr>
        <w:t>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p>
            <w:pPr>
              <w:spacing w:after="0" w:before="0" w:lineRule="auto" w:line="276"/>
              <w:jc w:val="left"/>
            </w:pPr>
            <w:r>
              <w:rPr>
                <w:rFonts w:ascii="Times New Roman" w:hAnsi="Times New Roman" w:cs="Times New Roman" w:eastAsia="Times New Roman"/>
                <w:b w:val="false"/>
                <w:sz w:val="26"/>
              </w:rPr>
              <w:t xml:space="preserve">Lệ phí :  </w:t>
              <w:t xml:space="preserve"> (Theo Thông tư số 168/2016/TT-BTC ngày 26 tháng 10 năm 2016 của Bộ trưởng Bộ Tài chính quy định mức thu, chế độ thu, nộp, quản lý và sử dụng phí thẩm định kinh doanh hàng hóa, dịch vụ hạn chế kinh doanh; hàng hóa, dịch vụ kinh doanh có điều kiện thuộc lĩnh vực thương mại và lệ phí cấp Giấy phép thành lập Sở Giao dịch hàng hóa.)</w:t>
            </w:r>
          </w:p>
        </w:tc>
        <w:tc>
          <w:p/>
          <w:p>
            <w:pPr>
              <w:spacing w:after="0" w:before="0" w:lineRule="auto" w:line="276"/>
              <w:jc w:val="left"/>
            </w:pPr>
            <w:r>
              <w:rPr>
                <w:rFonts w:ascii="Times New Roman" w:hAnsi="Times New Roman" w:cs="Times New Roman" w:eastAsia="Times New Roman"/>
                <w:b w:val="false"/>
                <w:sz w:val="26"/>
              </w:rPr>
              <w:t>- Trường hợp Giấy phép sản xuất sản phẩm thuốc lá đã được cấp hết thời hạn hiệu lực: Trong thời hạn 20 ngày làm việc kể từ ngày nhận đủ hồ sơ hợp lệ.
Trường hợp Giấy phép sản xuất sản phẩm thuốc lá bị mất, bị tiêu hủy toàn bộ hoặc một phần, bị rách, nát hoặc bị cháy: Trong thời hạn 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sản xuất sản phẩm thuốc lá bị mất, bị tiêu hủy toàn bộ hoặc một phần, bị rách, nát hoặc bị cháy doanh nghiệp nộp 01 bộ hồ sơ đề nghị cấp lại,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w:t>
            </w:r>
          </w:p>
        </w:tc>
        <w:tc>
          <w:p/>
          <w:p>
            <w:pPr>
              <w:spacing w:after="0" w:before="0" w:lineRule="auto" w:line="276"/>
              <w:jc w:val="left"/>
            </w:pPr>
            <w:r>
              <w:rPr>
                <w:rFonts w:ascii="Times New Roman" w:hAnsi="Times New Roman" w:cs="Times New Roman" w:eastAsia="Times New Roman"/>
                <w:b w:val="false"/>
                <w:sz w:val="26"/>
              </w:rPr>
              <w:t>Phụ lục 40.docx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Giấy phép sản xuất sản phẩm thuốc lá đã được cấp hết thời hạn hiệu lực.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như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sản xuất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Nghị định 106/2017/NĐ-CP</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Doanh nghiệp đang sản xuất sản phẩm thuốc lá trước thời điểm ban hành Nghị quyết số 12/2000/NQ-CP ngày 14 tháng 8 năm 2000 của Chính phủ về Chính sách quốc gia phòng, chống tác hại thuốc lá trong giai đoạn 2000 - 2010 hoặc doanh nghiệp đã được Thủ tướng Chính phủ đồng ý về chủ trương đầu tư trong trường hợp sáp nhập, liên doanh để sản xuất thuốc lá.
- Điều kiện về đầu tư và sử dụng nguyên liệu thuốc lá được trồng trong nước:
+ Doanh nghiệp phải tham gia đầu tư trồng cây thuốc lá dưới hình thức đầu tư trực tiếp hoặc liên kết đầu tư với các doanh nghiệp có Giấy chứng nhận đủ điều kiện đầu tư trồng cây thuốc lá, phù hợp với quy mô sản xuất kinh doanh của doanh nghiệp 
+ Phải sử dụng nguyên liệu thuốc lá được trồng trong nước để sản xuất thuốc lá. Trong trường hợp không đủ nguyên liệu trong nước thì được nhập khẩu phần nguyên liệu còn thiếu theo kế hoạch nhập khẩu hàng năm do Bộ Công Thương công bố, trừ trường hợp sản xuất sản phẩm thuốc lá nhãn nước ngoài hoặc sản phẩm thuốc lá để xuất khẩu. 
- Điều kiện về máy móc thiết bị:
Có máy móc thiết bị chuyên ngành gồm các công đoạn chính: Cuốn điếu, đóng bao;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2025-11-27T16:26:16Z</dcterms:created>
  <dc:creator>Apache POI</dc:creator>
</cp:coreProperties>
</file>