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2307/QĐ-NHNN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đăng ký đầu tư gián tiếp ra nước ngoài đối với tổ chức tự doanh là ngân hàng thương mại, công ty tài chính tổng hợp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Ngân hàng thương mại, công ty tài chính tổng hợp có nhu cầu thực hiện hoạt động tự doanh đầu tư gián tiếp ra nước ngoài nộp trực tiếp hoặc gửi qua đường bưu điện 05 (năm) bộ hồ sơ đến Ngân hàng Nhà nước. Trường hợp hồ sơ chưa đầy đủ, hợp lệ, trong thời hạn 05 (năm) ngày làm việc kể từ ngày nhận được hồ sơ, Ngân hàng Nhà nước có văn bản yêu cầu ngân hàng thương mại, công ty tài chính tổng hợp chỉnh sửa, bổ sung hồ sơ;</w:t>
      </w:r>
    </w:p>
    <w:p>
      <w:pPr>
        <w:spacing w:after="0" w:before="0" w:lineRule="auto" w:line="276"/>
        <w:jc w:val="both"/>
      </w:pPr>
      <w:r>
        <w:rPr>
          <w:rFonts w:ascii="Times New Roman" w:hAnsi="Times New Roman" w:cs="Times New Roman" w:eastAsia="Times New Roman"/>
          <w:b w:val="false"/>
          <w:sz w:val="26"/>
        </w:rPr>
        <w:t>Bước 2:Trong thời hạn 35 (ba mươi lăm) ngày kể từ ngày nhận được hồ sơ đầy đủ, hợp lệ, Ngân hàng Nhà nước xem xét cấp hoặc từ chối cấp giấy chứng nhận đăng ký đầu tư gián tiếp ra nước ngoài cho ngân hàng thương mại, công ty tài chính tổng hợp. Trường hợp từ chối, Ngân hàng Nhà nước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Trụ sở cơ quan hành chính (trực tiếp tại Bộ phận Một cửa);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đường bưu điện (dịch vụ bưu chính công ích).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chứng nhận đăng ký đầu tư gián tiếp ra nước ngoài theo mẫu tại Phụ lục số 03 ban hành kèm theo Thông tư 10;</w:t>
            </w:r>
          </w:p>
        </w:tc>
        <w:tc>
          <w:p/>
          <w:p>
            <w:pPr>
              <w:spacing w:after="0" w:before="0" w:lineRule="auto" w:line="276"/>
              <w:jc w:val="left"/>
            </w:pPr>
            <w:r>
              <w:rPr>
                <w:rFonts w:ascii="Times New Roman" w:hAnsi="Times New Roman" w:cs="Times New Roman" w:eastAsia="Times New Roman"/>
                <w:b w:val="false"/>
                <w:sz w:val="26"/>
              </w:rPr>
              <w:t>Phụ lục 03_Thông tư 10.docx</w:t>
            </w:r>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báo cáo tài chính đã được kiểm toán 03 (ba) năm liên tục liền trước năm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5</w:t>
            </w:r>
          </w:p>
        </w:tc>
      </w:tr>
      <w:tr>
        <w:tc>
          <w:p/>
          <w:p>
            <w:pPr>
              <w:spacing w:after="0" w:before="0" w:lineRule="auto" w:line="276"/>
              <w:jc w:val="left"/>
            </w:pPr>
            <w:r>
              <w:rPr>
                <w:rFonts w:ascii="Times New Roman" w:hAnsi="Times New Roman" w:cs="Times New Roman" w:eastAsia="Times New Roman"/>
                <w:b w:val="false"/>
                <w:sz w:val="26"/>
              </w:rPr>
              <w:t>+ Bản sao văn bản quyết toán thuế hoặc văn bản xác nhận của cơ quan thuế chứng minh việc thực hiện đầy đủ nghĩa vụ tài chính với Nhà nước Việt Nam, không có nợ thuế với ngân sách nhà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5</w:t>
            </w:r>
          </w:p>
        </w:tc>
      </w:tr>
      <w:tr>
        <w:tc>
          <w:p/>
          <w:p>
            <w:pPr>
              <w:spacing w:after="0" w:before="0" w:lineRule="auto" w:line="276"/>
              <w:jc w:val="left"/>
            </w:pPr>
            <w:r>
              <w:rPr>
                <w:rFonts w:ascii="Times New Roman" w:hAnsi="Times New Roman" w:cs="Times New Roman" w:eastAsia="Times New Roman"/>
                <w:b w:val="false"/>
                <w:sz w:val="26"/>
              </w:rPr>
              <w:t>+ Báo cáo về việc tuân thủ các quy định về giới hạn tỷ lệ bảo đảm an toàn trong hoạt động ngân hàng của năm liền kề năm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 định nội bộ về quản lý hoạt động tự doanh đầu tư gián tiếp ra nước ngoài, trong đó có nội dung về cơ chế kiểm soát, kiểm toán nội bộ, nhận dạng và quản trị rủi ro liên quan đến hoạt động tự doanh đầu tư gián tiếp ra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đầu tư gián tiếp ra nước ngoài cho ngân hàng thương mại, công ty tài chính tổng hợp.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135/2015/NĐ-CP</w:t>
            </w:r>
          </w:p>
        </w:tc>
        <w:tc>
          <w:p/>
          <w:p>
            <w:pPr>
              <w:spacing w:after="0" w:before="0" w:lineRule="auto" w:line="276"/>
              <w:jc w:val="left"/>
            </w:pPr>
            <w:r>
              <w:rPr>
                <w:rFonts w:ascii="Times New Roman" w:hAnsi="Times New Roman" w:cs="Times New Roman" w:eastAsia="Times New Roman"/>
                <w:b w:val="false"/>
                <w:sz w:val="26"/>
              </w:rPr>
              <w:t>Nghị định 135/2015/NĐ-CP</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10/2016/TT-NHNN </w:t>
            </w:r>
          </w:p>
        </w:tc>
        <w:tc>
          <w:p/>
          <w:p>
            <w:pPr>
              <w:spacing w:after="0" w:before="0" w:lineRule="auto" w:line="276"/>
              <w:jc w:val="left"/>
            </w:pPr>
            <w:r>
              <w:rPr>
                <w:rFonts w:ascii="Times New Roman" w:hAnsi="Times New Roman" w:cs="Times New Roman" w:eastAsia="Times New Roman"/>
                <w:b w:val="false"/>
                <w:sz w:val="26"/>
              </w:rPr>
              <w:t>Thông tư 10/2016/TT-NHNN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16/2019/NĐ-CP</w:t>
            </w:r>
          </w:p>
        </w:tc>
        <w:tc>
          <w:p/>
          <w:p>
            <w:pPr>
              <w:spacing w:after="0" w:before="0" w:lineRule="auto" w:line="276"/>
              <w:jc w:val="left"/>
            </w:pPr>
            <w:r>
              <w:rPr>
                <w:rFonts w:ascii="Times New Roman" w:hAnsi="Times New Roman" w:cs="Times New Roman" w:eastAsia="Times New Roman"/>
                <w:b w:val="false"/>
                <w:sz w:val="26"/>
              </w:rPr>
              <w:t>Nghị định 16/2019/NĐ-CP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15/2019/TT-NHNN</w:t>
            </w:r>
          </w:p>
        </w:tc>
        <w:tc>
          <w:p/>
          <w:p>
            <w:pPr>
              <w:spacing w:after="0" w:before="0" w:lineRule="auto" w:line="276"/>
              <w:jc w:val="left"/>
            </w:pPr>
            <w:r>
              <w:rPr>
                <w:rFonts w:ascii="Times New Roman" w:hAnsi="Times New Roman" w:cs="Times New Roman" w:eastAsia="Times New Roman"/>
                <w:b w:val="false"/>
                <w:sz w:val="26"/>
              </w:rPr>
              <w:t>Thông tư 15/2019/TT-NHNN</w:t>
            </w:r>
          </w:p>
        </w:tc>
        <w:tc>
          <w:p/>
          <w:p>
            <w:pPr>
              <w:spacing w:after="0" w:before="0" w:lineRule="auto" w:line="276"/>
              <w:jc w:val="left"/>
            </w:pPr>
            <w:r>
              <w:rPr>
                <w:rFonts w:ascii="Times New Roman" w:hAnsi="Times New Roman" w:cs="Times New Roman" w:eastAsia="Times New Roman"/>
                <w:b w:val="false"/>
                <w:sz w:val="26"/>
              </w:rPr>
              <w:t>11-10-2019</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Được phép hoạt động ngoại hối trên thị trường quốc tế;
+ Có lãi trong 03 năm liên tục liền trước năm nộp hồ sơ đề nghị cấp giấy chứng nhận đăng ký đầu tư gián tiếp ra nước ngoài được thể hiện trên báo cáo tài chính đã được kiểm toán và không có ý kiến ngoại trừ trọng yếu theo quy định của Bộ Tài chính. Báo cáo tài chính phải được kiểm toán bởi các tổ chức kiểm toán độc lập không nằm trong danh sách các tổ chức kiểm toán không được kiểm toán đối với tổ chức tín dụng, chi nhánh ngân hàng nước ngoài do Ngân hàng Nhà nước công bố;
+ Thực hiện đầy đủ các nghĩa vụ tài chính với Nhà nước, không có nợ thuế với ngân sách nhà nước;
+ Có quy trình nội bộ, cơ chế kiểm soát, kiểm toán nội bộ, nhận dạng và quản trị rủi ro liên quan đến hoạt động tự doanh đầu tư gián tiếp ra nước ngoài;
+ Tuân thủ quy định hiện hành của Ngân hàng Nhà nước về các giới hạn, tỷ lệ bảo đảm an toàn trong hoạt động ngân hàng.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2025-11-27T16:26:27Z</dcterms:created>
  <dc:creator>Apache POI</dc:creator>
</cp:coreProperties>
</file>