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1.000792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3596/QĐ-NHCS</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lại Thẻ tiết kiệm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Người gửi tiền trực tiếp đến NHCSXH nơi mở Thẻ tiết kiệm để khai báo mất/ hỏng Thẻ Tiết kiệm.
- Người gửi tiền xuất trình hồ sơ theo quy định.
- Người gửi tiền lập Giấy báo mất Thẻ tiết kiệm hoặc Giấy báo hỏng Thẻ tiết kiệm. 
- Ký xác nhận trên Sổ theo dõi báo mất, hỏng Thẻ tiết kiệm.
- NHCSXH xác minh thông tin, hồ sơ Người gửi tiền; đối chiếu chữ ký của Người gửi tiền với chữ ký mẫu lưu tại ngân hàng.
- Trường hợp mất Thẻ tiết kiệm, NHCSXH thực hiện: 
+ Phong tỏa tài khoản tiền gửi tiết kiệm, chấm dứt hiệu lực Thẻ tiết kiệm;
+ Thông báo cho Sở giao dịch, chi nhánh NHCSXH các tỉnh/thành phố, Ngân hàng Nhà nước và các tổ chức tín dụng khác trên địa bàn
+ Cấp lại Thẻ tiết kiệm mới, chấm dứt phong tỏa tài khoản tiền gửi tiết kiệm sau khi các thông tin được xác định đúng, đầy đủ và không có tranh chấp, khiếu kiện
+ Trường hợp Người gửi tiền tìm thấy Thẻ Tiết kiệm đã báo mất, NHCSXH nơi thực hiện thủ tục cắt góc và thu Thẻ tiết kiệm cũ. 
- Trường hợp hỏng Thẻ tiết kiệm, NHCSXH thực hiện: Cấp lại Thẻ tiết kiệm mới, cắt góc và thu Thẻ tiết kiệm cũ.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Trực tiếp tại trụ sở của NHCSXH nơi mở  Thẻ tiết kiệm. 
- Trường hợp mất Thẻ tiết kiệm: 30 ngày làm việc kể từ ngày người gửi tiền hoàn tất thủ tục báo mất Thẻ tiết kiệm.
- Trường hợp hỏng Thẻ tiết kiệm: Ngay sau khi NHCSXH nơi thực hiện thủ tục nhận được hồ sơ của khách hàng báo hỏng Thẻ tiết kiệm.
Trường hợp mất Thẻ tiết kiệm: 30 ngày làm việc kể từ ngày người gửi tiền hoàn tất thủ tục báo mất Thẻ tiết Trực tiếp tại trụ sở của NHCSXH nơi mở  Thẻ tiết kiệm. kiệm.</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tờ xác minh thông tin của người gửi tiền theo quy định: Giấy chứng minh nhân dân hoặc Thẻ căn cước công dân hoặc Hộ chiếu còn thời hạn hiệu lực của người gửi tiền …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báo mất Thẻ tiết kiệm (mẫu số 03/NHCS-TGTK) (01 bản chính lưu ngân hàng);</w:t>
            </w:r>
          </w:p>
        </w:tc>
        <w:tc>
          <w:p/>
          <w:p>
            <w:pPr>
              <w:spacing w:after="0" w:before="0" w:lineRule="auto" w:line="276"/>
              <w:jc w:val="left"/>
            </w:pPr>
            <w:r>
              <w:rPr>
                <w:rFonts w:ascii="Times New Roman" w:hAnsi="Times New Roman" w:cs="Times New Roman" w:eastAsia="Times New Roman"/>
                <w:b w:val="false"/>
                <w:sz w:val="26"/>
              </w:rPr>
              <w:t>03-NHCS-TGTK (Giấy báo mất).docx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báo hỏng Thẻ tiết kiệm (mẫu số 04/NHCS-TGTK) (01 bản chính lưu ngân hàng).</w:t>
            </w:r>
          </w:p>
        </w:tc>
        <w:tc>
          <w:p/>
          <w:p>
            <w:pPr>
              <w:spacing w:after="0" w:before="0" w:lineRule="auto" w:line="276"/>
              <w:jc w:val="left"/>
            </w:pPr>
            <w:r>
              <w:rPr>
                <w:rFonts w:ascii="Times New Roman" w:hAnsi="Times New Roman" w:cs="Times New Roman" w:eastAsia="Times New Roman"/>
                <w:b w:val="false"/>
                <w:sz w:val="26"/>
              </w:rPr>
              <w:t>04-NHCS-TGCKH (Giấy báo nhàu, rách nát có kỳ hạn).docx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Thẻ tiết kiệm bị hỏng (01 bản chính lưu ngân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Thẻ tiết kiệm mới.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78/2002/NĐ-CP</w:t>
            </w:r>
          </w:p>
        </w:tc>
        <w:tc>
          <w:p/>
          <w:p>
            <w:pPr>
              <w:spacing w:after="0" w:before="0" w:lineRule="auto" w:line="276"/>
              <w:jc w:val="left"/>
            </w:pPr>
            <w:r>
              <w:rPr>
                <w:rFonts w:ascii="Times New Roman" w:hAnsi="Times New Roman" w:cs="Times New Roman" w:eastAsia="Times New Roman"/>
                <w:b w:val="false"/>
                <w:sz w:val="26"/>
              </w:rPr>
              <w:t>Nghị định 78/2002/NĐ-CP</w:t>
            </w:r>
          </w:p>
        </w:tc>
        <w:tc>
          <w:p/>
          <w:p>
            <w:pPr>
              <w:spacing w:after="0" w:before="0" w:lineRule="auto" w:line="276"/>
              <w:jc w:val="left"/>
            </w:pPr>
            <w:r>
              <w:rPr>
                <w:rFonts w:ascii="Times New Roman" w:hAnsi="Times New Roman" w:cs="Times New Roman" w:eastAsia="Times New Roman"/>
                <w:b w:val="false"/>
                <w:sz w:val="26"/>
              </w:rPr>
              <w:t>04-10-2002</w:t>
            </w:r>
          </w:p>
        </w:tc>
        <w:tc>
          <w:p/>
          <w:p>
            <w:pPr>
              <w:spacing w:after="0" w:before="0" w:lineRule="auto" w:line="276"/>
              <w:jc w:val="left"/>
            </w:pPr>
            <w:r>
              <w:rPr>
                <w:rFonts w:ascii="Times New Roman" w:hAnsi="Times New Roman" w:cs="Times New Roman" w:eastAsia="Times New Roman"/>
                <w:b w:val="false"/>
                <w:sz w:val="26"/>
              </w:rPr>
              <w:t>Phòng Chính phủ số</w:t>
            </w:r>
          </w:p>
        </w:tc>
      </w:tr>
      <w:tr>
        <w:tc>
          <w:p/>
          <w:p>
            <w:pPr>
              <w:spacing w:after="0" w:before="0" w:lineRule="auto" w:line="276"/>
              <w:jc w:val="left"/>
            </w:pPr>
            <w:r>
              <w:rPr>
                <w:rFonts w:ascii="Times New Roman" w:hAnsi="Times New Roman" w:cs="Times New Roman" w:eastAsia="Times New Roman"/>
                <w:b w:val="false"/>
                <w:sz w:val="26"/>
              </w:rPr>
              <w:t>131/2002/QĐ-TTg</w:t>
            </w:r>
          </w:p>
        </w:tc>
        <w:tc>
          <w:p/>
          <w:p>
            <w:pPr>
              <w:spacing w:after="0" w:before="0" w:lineRule="auto" w:line="276"/>
              <w:jc w:val="left"/>
            </w:pPr>
            <w:r>
              <w:rPr>
                <w:rFonts w:ascii="Times New Roman" w:hAnsi="Times New Roman" w:cs="Times New Roman" w:eastAsia="Times New Roman"/>
                <w:b w:val="false"/>
                <w:sz w:val="26"/>
              </w:rPr>
              <w:t>Về việc thành lập Ngân hàng Chính sách xã hội</w:t>
            </w:r>
          </w:p>
        </w:tc>
        <w:tc>
          <w:p/>
          <w:p>
            <w:pPr>
              <w:spacing w:after="0" w:before="0" w:lineRule="auto" w:line="276"/>
              <w:jc w:val="left"/>
            </w:pPr>
            <w:r>
              <w:rPr>
                <w:rFonts w:ascii="Times New Roman" w:hAnsi="Times New Roman" w:cs="Times New Roman" w:eastAsia="Times New Roman"/>
                <w:b w:val="false"/>
                <w:sz w:val="26"/>
              </w:rPr>
              <w:t>04-10-2002</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16/2003/QĐ-TTg</w:t>
            </w:r>
          </w:p>
        </w:tc>
        <w:tc>
          <w:p/>
          <w:p>
            <w:pPr>
              <w:spacing w:after="0" w:before="0" w:lineRule="auto" w:line="276"/>
              <w:jc w:val="left"/>
            </w:pPr>
            <w:r>
              <w:rPr>
                <w:rFonts w:ascii="Times New Roman" w:hAnsi="Times New Roman" w:cs="Times New Roman" w:eastAsia="Times New Roman"/>
                <w:b w:val="false"/>
                <w:sz w:val="26"/>
              </w:rPr>
              <w:t>Về việc phê duyệt Điều lệ về tổ chức và hoạt động của Ngân hàng Chính sách xã hội</w:t>
            </w:r>
          </w:p>
        </w:tc>
        <w:tc>
          <w:p/>
          <w:p>
            <w:pPr>
              <w:spacing w:after="0" w:before="0" w:lineRule="auto" w:line="276"/>
              <w:jc w:val="left"/>
            </w:pPr>
            <w:r>
              <w:rPr>
                <w:rFonts w:ascii="Times New Roman" w:hAnsi="Times New Roman" w:cs="Times New Roman" w:eastAsia="Times New Roman"/>
                <w:b w:val="false"/>
                <w:sz w:val="26"/>
              </w:rPr>
              <w:t>22-01-2003</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47/2010/QH12</w:t>
            </w:r>
          </w:p>
        </w:tc>
        <w:tc>
          <w:p/>
          <w:p>
            <w:pPr>
              <w:spacing w:after="0" w:before="0" w:lineRule="auto" w:line="276"/>
              <w:jc w:val="left"/>
            </w:pPr>
            <w:r>
              <w:rPr>
                <w:rFonts w:ascii="Times New Roman" w:hAnsi="Times New Roman" w:cs="Times New Roman" w:eastAsia="Times New Roman"/>
                <w:b w:val="false"/>
                <w:sz w:val="26"/>
              </w:rPr>
              <w:t>Các tổ chức tín dụng</w:t>
            </w:r>
          </w:p>
        </w:tc>
        <w:tc>
          <w:p/>
          <w:p>
            <w:pPr>
              <w:spacing w:after="0" w:before="0" w:lineRule="auto" w:line="276"/>
              <w:jc w:val="left"/>
            </w:pPr>
            <w:r>
              <w:rPr>
                <w:rFonts w:ascii="Times New Roman" w:hAnsi="Times New Roman" w:cs="Times New Roman" w:eastAsia="Times New Roman"/>
                <w:b w:val="false"/>
                <w:sz w:val="26"/>
              </w:rPr>
              <w:t>16-06-2010</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91/2015/QH13</w:t>
            </w:r>
          </w:p>
        </w:tc>
        <w:tc>
          <w:p/>
          <w:p>
            <w:pPr>
              <w:spacing w:after="0" w:before="0" w:lineRule="auto" w:line="276"/>
              <w:jc w:val="left"/>
            </w:pPr>
            <w:r>
              <w:rPr>
                <w:rFonts w:ascii="Times New Roman" w:hAnsi="Times New Roman" w:cs="Times New Roman" w:eastAsia="Times New Roman"/>
                <w:b w:val="false"/>
                <w:sz w:val="26"/>
              </w:rPr>
              <w:t>Dân sự</w:t>
            </w:r>
          </w:p>
        </w:tc>
        <w:tc>
          <w:p/>
          <w:p>
            <w:pPr>
              <w:spacing w:after="0" w:before="0" w:lineRule="auto" w:line="276"/>
              <w:jc w:val="left"/>
            </w:pPr>
            <w:r>
              <w:rPr>
                <w:rFonts w:ascii="Times New Roman" w:hAnsi="Times New Roman" w:cs="Times New Roman" w:eastAsia="Times New Roman"/>
                <w:b w:val="false"/>
                <w:sz w:val="26"/>
              </w:rPr>
              <w:t>24-11-2015</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48 /2018/TT-NHNN</w:t>
            </w:r>
          </w:p>
        </w:tc>
        <w:tc>
          <w:p/>
          <w:p>
            <w:pPr>
              <w:spacing w:after="0" w:before="0" w:lineRule="auto" w:line="276"/>
              <w:jc w:val="left"/>
            </w:pPr>
            <w:r>
              <w:rPr>
                <w:rFonts w:ascii="Times New Roman" w:hAnsi="Times New Roman" w:cs="Times New Roman" w:eastAsia="Times New Roman"/>
                <w:b w:val="false"/>
                <w:sz w:val="26"/>
              </w:rPr>
              <w:t>Luật sửa đổi, bổ sung một số điều của Luật các tổ chức tín dụng</w:t>
            </w:r>
          </w:p>
        </w:tc>
        <w:tc>
          <w:p/>
          <w:p>
            <w:pPr>
              <w:spacing w:after="0" w:before="0" w:lineRule="auto" w:line="276"/>
              <w:jc w:val="left"/>
            </w:pPr>
            <w:r>
              <w:rPr>
                <w:rFonts w:ascii="Times New Roman" w:hAnsi="Times New Roman" w:cs="Times New Roman" w:eastAsia="Times New Roman"/>
                <w:b w:val="false"/>
                <w:sz w:val="26"/>
              </w:rPr>
              <w:t>31-12-2018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Công văn số 3579/NHCS-KHNV</w:t>
            </w:r>
          </w:p>
        </w:tc>
        <w:tc>
          <w:p/>
          <w:p>
            <w:pPr>
              <w:spacing w:after="0" w:before="0" w:lineRule="auto" w:line="276"/>
              <w:jc w:val="left"/>
            </w:pPr>
            <w:r>
              <w:rPr>
                <w:rFonts w:ascii="Times New Roman" w:hAnsi="Times New Roman" w:cs="Times New Roman" w:eastAsia="Times New Roman"/>
                <w:b w:val="false"/>
                <w:sz w:val="26"/>
              </w:rPr>
              <w:t>Quy định về tiền gửi tiết kiệm</w:t>
            </w:r>
          </w:p>
        </w:tc>
        <w:tc>
          <w:p/>
          <w:p>
            <w:pPr>
              <w:spacing w:after="0" w:before="0" w:lineRule="auto" w:line="276"/>
              <w:jc w:val="left"/>
            </w:pPr>
            <w:r>
              <w:rPr>
                <w:rFonts w:ascii="Times New Roman" w:hAnsi="Times New Roman" w:cs="Times New Roman" w:eastAsia="Times New Roman"/>
                <w:b w:val="false"/>
                <w:sz w:val="26"/>
              </w:rPr>
              <w:t>10-06-2019</w:t>
            </w:r>
          </w:p>
        </w:tc>
        <w:tc>
          <w:p/>
          <w:p>
            <w:pPr>
              <w:spacing w:after="0" w:before="0" w:lineRule="auto" w:line="276"/>
              <w:jc w:val="left"/>
            </w:pPr>
            <w:r>
              <w:rPr>
                <w:rFonts w:ascii="Times New Roman" w:hAnsi="Times New Roman" w:cs="Times New Roman" w:eastAsia="Times New Roman"/>
                <w:b w:val="false"/>
                <w:sz w:val="26"/>
              </w:rPr>
              <w:t>Thủ tướng 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NHCSXH không chấp nhận cấp Thẻ tiết kiệm mới cho người gửi tiền đối với các Thẻ tiết kiệm có các thông tin được xác định không đúng, không đầy đủ và có tranh chấp khiếu kiện, đã bị tẩy xóa, sửa chữa; giao dịch tiền gửi tiết kiệm của người gửi tiền bị phong tỏa. Trường hợp phát hiện người gửi tiền có hành vi gian dối nhằm trục lợi, NHCSXH lập Biên bản chuyển sang cơ quan nhà nước có thẩm quyền xử lý theo quy định của pháp luật.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https://thutuc.dichvucong.gov.vn/p/home/dvc-tthc-thu-tuc-hanh-chinh-chi-tiet.html?ma_thu_tuc=1160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2025-11-27T16:26:35Z</dcterms:created>
  <dc:creator>Apache POI</dc:creator>
</cp:coreProperties>
</file>