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thông tin đăng ký hoạt động đánh giá tín nhiệm website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trường hợp sửa đổi, bổ sung thông tin đăng ký hoạt động đánh giá tín nhiệm website thương mại điện tử, thương nhân, tổ chức phải thông báo sửa đổi, bổ sung thông tin đăng ký trong thời hạn 7 ngày làm việc kể từ ngày có sự thay đổi sau:
a) Thay đổi tên thương nhân, tổ chức;
b) Thay đổi người đại diện của thương nhân, tổ chức; thay đổi người chịu trách nhiệm về hoạt động đánh giá tín nhiệm website thương mại điện tử;
c) Thay đổi địa chỉ trụ sở giao dịch hoặc thông tin liên hệ;
d) Thay đổi tiêu chí và quy trình đánh giá tín nhiệm website thương mại điện tử hoặc các nội dung khác của Đề án hoạt động đánh giá tín nhiệm website thương mại điện tử được quy định tại Khoản 3 Điều 22 Thông tư 47/2014/TT-BCT.
Trong thời hạn 7 ngày làm việc kể từ ngày nhận được thông báo đầy đủ, chính xác của thương nhân, tổ chức, Ủy ban nhân dân cấp tỉnh tiến hành xem xét việc xác nhận hoặc không xác nhận thông tin sửa đổi, bổ sung và phản hồi lại cho thương nhân, tổ chức qua tài khoản truy cập hệ thống đã được cấp; trường hợp không xác nhận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7 ngày làm việc kể từ ngày nhận được thông báo đầy đủ, chính xác của thương nhân, tổ chức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Thông tin thay đổi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Thay đổi tên thương nhân,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Thay đổi người đại diện của thương nhân, tổ chức; thay đổi người chịu trách nhiệm về hoạt động đánh giá tín nhiệm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Thay đổi địa chỉ trụ sở giao dịch hoặc thông tin liên hệ;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Thay đổi tiêu chí và quy trình đánh giá tín nhiệm website thương mại điện tử hoặc các nội dung khác của Đề án hoạt động đánh giá tín nhiệm website thương mại điện tử được quy định tại Khoản 3 Điều 22 Thông tư số 47/2014/TT-BCT ngày 05 tháng 12 năm 2014 của Bộ trưởng Bộ Công Thương quy định về quản lý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thông báo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Nghị định 52/2013/NĐ-CP</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59/2015/TT-BCT</w:t>
            </w:r>
          </w:p>
        </w:tc>
        <w:tc>
          <w:p/>
          <w:p>
            <w:pPr>
              <w:spacing w:after="0" w:before="0" w:lineRule="auto" w:line="276"/>
              <w:jc w:val="left"/>
            </w:pPr>
            <w:r>
              <w:rPr>
                <w:rFonts w:ascii="Times New Roman" w:hAnsi="Times New Roman" w:cs="Times New Roman" w:eastAsia="Times New Roman"/>
                <w:b w:val="false"/>
                <w:sz w:val="26"/>
              </w:rPr>
              <w:t>Thông tư 59/2015/TT-BCT</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Thông tư 04/2016/TT-BCT</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21/2018/TT-BCT</w:t>
            </w:r>
          </w:p>
        </w:tc>
        <w:tc>
          <w:p/>
          <w:p>
            <w:pPr>
              <w:spacing w:after="0" w:before="0" w:lineRule="auto" w:line="276"/>
              <w:jc w:val="left"/>
            </w:pPr>
            <w:r>
              <w:rPr>
                <w:rFonts w:ascii="Times New Roman" w:hAnsi="Times New Roman" w:cs="Times New Roman" w:eastAsia="Times New Roman"/>
                <w:b w:val="false"/>
                <w:sz w:val="26"/>
              </w:rPr>
              <w:t>Thông tư 21/2018/TT-BCT</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2025-11-27T16:26:33Z</dcterms:created>
  <dc:creator>Apache POI</dc:creator>
</cp:coreProperties>
</file>