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6968/QĐ-BCA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miễn thị thực tại 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Bước1: Chuẩn bị hồ sơ theo quy định.</w:t>
      </w:r>
    </w:p>
    <w:p>
      <w:pPr>
        <w:spacing w:after="0" w:before="0" w:lineRule="auto" w:line="276"/>
        <w:jc w:val="both"/>
      </w:pPr>
      <w:r>
        <w:rPr>
          <w:rFonts w:ascii="Times New Roman" w:hAnsi="Times New Roman" w:cs="Times New Roman" w:eastAsia="Times New Roman"/>
          <w:b w:val="false"/>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tiếp nhận hồ sơ kiểm tra tính pháp lý và nội dung hồ sơ: 
+ Trường hợp hồ sơ đã đầy đủ, hợp lệ thì cấp giấy hẹn trả kết quả cho người đề nghị cấp giấy miễn thị thực; yêu cầu nộp phí cho cán bộ thu phí, cán bộ thu phí thu tiền, giao biên lai thu tiền cho người đề nghị cấp giấy miễn thị thực hoặc thông báo trên Cổng dịch vụ công quốc gia hoặc Cổng dịch vụ công Bộ Công an để người đề nghị cấp giấy miễn thị thực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lại giấy miễn thị thực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cấp lại giấy miễn thị thực thì trả lời bằng văn bản hoặc thông báo trên Cổng dịch vụ công trực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t>Phí : 10 USD</w:t>
              <w:t xml:space="preserve"> (10USD/giấy)</w:t>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
không quá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t>Phí : 10 USD</w:t>
              <w:t xml:space="preserve"> (10USD/giấy)</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t>Phí : 10 USD</w:t>
              <w:t xml:space="preserve"> (10USD/giấy)</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chứng minh thuộc diện cấp giấy miễn thị thực: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Người Việt Nam định cư ở nước ngoài nộp bản sao được chứng thực từ bản chính hoặc kèm theo bản chính để đối chiếu một trong các giấy tờ sau: Giấy khai sinh, quyết định cho thôi quốc tịch Việt Nam hoặc giấy xác nhận mất quốc tịch Việt Nam, giấy tờ khác có ghi quốc tịch Việt Nam hoặc có giá trị chứng minh có quốc tịch Việt Nam trước đây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Người nước ngoài nộp bản sao được chứng thực từ bản chính hoặc kèm theo bản chính để đối chiếu giấy tờ chứng minh là vợ, chồng, con của công dân Việt Nam hoặc của người Việt Nam định cư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 hoặc giấy tờ có giá trị đi lại quốc tế hoặc giấy tờ cho phép thường trú do cơ quan có thẩm quyền của nước ngoài cấp cho người Việt Nam định cư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Tờ khai đề nghị cấp Giấy miễn thị thực (Mẫu NA9).</w:t>
            </w:r>
          </w:p>
        </w:tc>
        <w:tc>
          <w:p/>
          <w:p>
            <w:pPr>
              <w:spacing w:after="0" w:before="0" w:lineRule="auto" w:line="276"/>
              <w:jc w:val="left"/>
            </w:pPr>
            <w:r>
              <w:rPr>
                <w:rFonts w:ascii="Times New Roman" w:hAnsi="Times New Roman" w:cs="Times New Roman" w:eastAsia="Times New Roman"/>
                <w:b w:val="false"/>
                <w:sz w:val="26"/>
              </w:rPr>
              <w:t>10-Mẫu NA9.doc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mới chụp, cỡ 4cm x 6cm, phông nền trắng, mặt nhìn thẳng, đầu để trần, không đeo kính màu (01 ảnh dán vào tờ khai, 01 ảnh để rời).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miễn thị thực, nếu mất phải có đơn trình báo.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thực từ bản chính hoặc kèm theo bản chính để đối chiếu giấy tờ chứng minh nội dung cần điều chỉnh trong giấy miễn thị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hộ chiếu hoặc giấy tờ có giá trị đi lại quốc tế hoặc giấy tờ cho phép thường trú do cơ quan có thẩm quyền của nước ngoài cấp cho người Việt Nam định cư ở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lượng hồ sơ: 01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một trong ba trụ sở làm việc của Cục Quản lý xuất nhập cảnh – Bộ Công an:            + 44-46 Trần Phú, Ba Đình, Hà Nội.            + 254 Nguyễn Trãi, Q.1, TP Hồ Chí Minh.            + 7 Trần Quý Cáp, TP Đà Nẵng.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miễn thị thực dán vào hộ chiếu hoặc cấp rời trong một số trường hợp đặc biệt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17-06-2014</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82/2015/NĐ-CP</w:t>
            </w:r>
          </w:p>
        </w:tc>
        <w:tc>
          <w:p/>
          <w:p>
            <w:pPr>
              <w:spacing w:after="0" w:before="0" w:lineRule="auto" w:line="276"/>
              <w:jc w:val="left"/>
            </w:pPr>
            <w:r>
              <w:rPr>
                <w:rFonts w:ascii="Times New Roman" w:hAnsi="Times New Roman" w:cs="Times New Roman" w:eastAsia="Times New Roman"/>
                <w:b w:val="false"/>
                <w:sz w:val="26"/>
              </w:rPr>
              <w:t>Nghị định 82/2015/NĐ-CP</w:t>
            </w:r>
          </w:p>
        </w:tc>
        <w:tc>
          <w:p/>
          <w:p>
            <w:pPr>
              <w:spacing w:after="0" w:before="0" w:lineRule="auto" w:line="276"/>
              <w:jc w:val="left"/>
            </w:pPr>
            <w:r>
              <w:rPr>
                <w:rFonts w:ascii="Times New Roman" w:hAnsi="Times New Roman" w:cs="Times New Roman" w:eastAsia="Times New Roman"/>
                <w:b w:val="false"/>
                <w:sz w:val="26"/>
              </w:rPr>
              <w:t>24-09-2015</w:t>
            </w:r>
          </w:p>
        </w:tc>
        <w:tc>
          <w:p/>
        </w:tc>
      </w:tr>
      <w:tr>
        <w:tc>
          <w:p/>
          <w:p>
            <w:pPr>
              <w:spacing w:after="0" w:before="0" w:lineRule="auto" w:line="276"/>
              <w:jc w:val="left"/>
            </w:pPr>
            <w:r>
              <w:rPr>
                <w:rFonts w:ascii="Times New Roman" w:hAnsi="Times New Roman" w:cs="Times New Roman" w:eastAsia="Times New Roman"/>
                <w:b w:val="false"/>
                <w:sz w:val="26"/>
              </w:rPr>
              <w:t>04/2015/TT-BCA</w:t>
            </w:r>
          </w:p>
        </w:tc>
        <w:tc>
          <w:p/>
          <w:p>
            <w:pPr>
              <w:spacing w:after="0" w:before="0" w:lineRule="auto" w:line="276"/>
              <w:jc w:val="left"/>
            </w:pPr>
            <w:r>
              <w:rPr>
                <w:rFonts w:ascii="Times New Roman" w:hAnsi="Times New Roman" w:cs="Times New Roman" w:eastAsia="Times New Roman"/>
                <w:b w:val="false"/>
                <w:sz w:val="26"/>
              </w:rPr>
              <w:t>Thông tư 04/2015/TT-BCA</w:t>
            </w:r>
          </w:p>
        </w:tc>
        <w:tc>
          <w:p/>
          <w:p>
            <w:pPr>
              <w:spacing w:after="0" w:before="0" w:lineRule="auto" w:line="276"/>
              <w:jc w:val="left"/>
            </w:pPr>
            <w:r>
              <w:rPr>
                <w:rFonts w:ascii="Times New Roman" w:hAnsi="Times New Roman" w:cs="Times New Roman" w:eastAsia="Times New Roman"/>
                <w:b w:val="false"/>
                <w:sz w:val="26"/>
              </w:rPr>
              <w:t>06-01-2015</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hộ chiếu hoặc giấy tờ có giá trị đi lại quốc tế còn giá trị ít nhất 01 năm.
+ Nhập cảnh bằng giấy miễn thị thực đang tạm trú tại Việt Nam.
+ Có giấy tờ chứng minh là người Việt Nam định cư ở nước ngoài và người nước ngoài là vợ, chồng, con của người Việt Nam định cư ở nước ngoài hoặc của công dân Việt Nam.
+ Không thuộc các trường hợp chưa cho nhập cảnh và tạm hoãn xuất cảnh theo quy định tại Điều 21 và Điều 28 của Luật Nhập cảnh, xuất cảnh, quá cảnh, cư trú của người nước ngoài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2025-11-27T16:26:49Z</dcterms:created>
  <dc:creator>Apache POI</dc:creator>
</cp:coreProperties>
</file>