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danh mục nội dung trên dịch vụ phát thanh, truyền hình trả tiền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Sau khi doanh nghiệp được cấp Giấy phép cung cấp dịch vụ phát thanh, truyền hình trả tiền, Bộ VHTTDL (Cục Phát thanh, truyền hình và thông tin điện tử) có trách nhiệm xét cấp Giấy chứng nhận đăng ký danh mục nội dung trên dịch vụ phát thanh, truyền hình trả tiền;
- Doanh nghiệp có nhu cầu gửi hồ sơ về Bộ VHTTDL (Cục Phát thanh, truyền hình và Thông tin điện tử).
- Trong thời hạn 24 ngày làm việc kể từ ngày nhận được hồ sơ hợp lệ, Bộ VHTTDL (Cục Phát thanh, truyền hình và Thông tin điện tử) có trách nhiệm xét cấp Giấy chứng nhận đăng ký danh mục kênh chương trình trên dịch vụ phát thanh, truyền hình trả tiền. Trường hợp không cấp Giấy chứng nhận, Bộ VHTTDL (Cục Phát thanh, truyền hình và Thông tin điện tử)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24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24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24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đăng ký, sửa đổi, bổ sung danh mục kênh chương trình trên dịch vụ phát thanh, truyền hình trả tiền theo mẫu số 05/DVTHTT ban hành kèm theoThông tư số 19/2016/TT-BTTTT ngày 30/6/2016 cùa Bộ Thông tin và Truyền thông quy định các biểu mẫu Tờ khai đăng ký, Đơn đề nghị cấp Giấy phép, Giấy Chứng nhận, Giấy phép và Báo cáo nghiệp vụ theo quy định tại Nghị định số 06/2016/NĐ-CP ngày 30/6/2016</w:t>
            </w:r>
          </w:p>
        </w:tc>
        <w:tc>
          <w:p/>
          <w:p>
            <w:pPr>
              <w:spacing w:after="0" w:before="0" w:lineRule="auto" w:line="276"/>
              <w:jc w:val="left"/>
            </w:pPr>
            <w:r>
              <w:rPr>
                <w:rFonts w:ascii="Times New Roman" w:hAnsi="Times New Roman" w:cs="Times New Roman" w:eastAsia="Times New Roman"/>
                <w:b w:val="false"/>
                <w:sz w:val="26"/>
              </w:rPr>
              <w:t>Mẫu số 05 - Tờ khai - Dang ky danh muc kenh.doc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bản gốc để đối chiếu văn bản thỏa thuận bản quyền đối với kênh chương trình trên dịch vụ phát thanh, truyền hình trả tiền đăng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bản gốc để đối chiếu văn bản thỏa thuận điểm nhận tín hiệu các kênh chương trình phục vụ nhiệm vụ chính trị, thông tin tuyên truyền thiết yếu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danh mục kênh chương trình trên dịch vụ phát thanh, truyền hình trả tiền hoặc văn bản trả lời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41/2009/QH12</w:t>
            </w:r>
          </w:p>
        </w:tc>
        <w:tc>
          <w:p/>
          <w:p>
            <w:pPr>
              <w:spacing w:after="0" w:before="0" w:lineRule="auto" w:line="276"/>
              <w:jc w:val="left"/>
            </w:pPr>
            <w:r>
              <w:rPr>
                <w:rFonts w:ascii="Times New Roman" w:hAnsi="Times New Roman" w:cs="Times New Roman" w:eastAsia="Times New Roman"/>
                <w:b w:val="false"/>
                <w:sz w:val="26"/>
              </w:rPr>
              <w:t>Luật 41/2009/QH12</w:t>
            </w:r>
          </w:p>
        </w:tc>
        <w:tc>
          <w:p/>
          <w:p>
            <w:pPr>
              <w:spacing w:after="0" w:before="0" w:lineRule="auto" w:line="276"/>
              <w:jc w:val="left"/>
            </w:pPr>
            <w:r>
              <w:rPr>
                <w:rFonts w:ascii="Times New Roman" w:hAnsi="Times New Roman" w:cs="Times New Roman" w:eastAsia="Times New Roman"/>
                <w:b w:val="false"/>
                <w:sz w:val="26"/>
              </w:rPr>
              <w:t>23-11-2009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103/2016/QH13</w:t>
            </w:r>
          </w:p>
        </w:tc>
        <w:tc>
          <w:p/>
          <w:p>
            <w:pPr>
              <w:spacing w:after="0" w:before="0" w:lineRule="auto" w:line="276"/>
              <w:jc w:val="left"/>
            </w:pPr>
            <w:r>
              <w:rPr>
                <w:rFonts w:ascii="Times New Roman" w:hAnsi="Times New Roman" w:cs="Times New Roman" w:eastAsia="Times New Roman"/>
                <w:b w:val="false"/>
                <w:sz w:val="26"/>
              </w:rPr>
              <w:t>Luật 103/2016/QH13</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71/2022/NĐ-CP</w:t>
            </w:r>
          </w:p>
        </w:tc>
        <w:tc>
          <w:p/>
          <w:p>
            <w:pPr>
              <w:spacing w:after="0" w:before="0" w:lineRule="auto" w:line="276"/>
              <w:jc w:val="left"/>
            </w:pPr>
            <w:r>
              <w:rPr>
                <w:rFonts w:ascii="Times New Roman" w:hAnsi="Times New Roman" w:cs="Times New Roman" w:eastAsia="Times New Roman"/>
                <w:b w:val="false"/>
                <w:sz w:val="26"/>
              </w:rPr>
              <w:t>Nghị định 71/2022/NĐ-CP</w:t>
            </w:r>
          </w:p>
        </w:tc>
        <w:tc>
          <w:p/>
          <w:p>
            <w:pPr>
              <w:spacing w:after="0" w:before="0" w:lineRule="auto" w:line="276"/>
              <w:jc w:val="left"/>
            </w:pPr>
            <w:r>
              <w:rPr>
                <w:rFonts w:ascii="Times New Roman" w:hAnsi="Times New Roman" w:cs="Times New Roman" w:eastAsia="Times New Roman"/>
                <w:b w:val="false"/>
                <w:sz w:val="26"/>
              </w:rPr>
              <w:t>01-10-2022</w:t>
            </w:r>
          </w:p>
        </w:tc>
        <w:tc>
          <w:p/>
        </w:tc>
      </w:tr>
      <w:tr>
        <w:tc>
          <w:p/>
          <w:p>
            <w:pPr>
              <w:spacing w:after="0" w:before="0" w:lineRule="auto" w:line="276"/>
              <w:jc w:val="left"/>
            </w:pPr>
            <w:r>
              <w:rPr>
                <w:rFonts w:ascii="Times New Roman" w:hAnsi="Times New Roman" w:cs="Times New Roman" w:eastAsia="Times New Roman"/>
                <w:b w:val="false"/>
                <w:sz w:val="26"/>
              </w:rPr>
              <w:t>05/2023/TT-BTTTT</w:t>
            </w:r>
          </w:p>
        </w:tc>
        <w:tc>
          <w:p/>
          <w:p>
            <w:pPr>
              <w:spacing w:after="0" w:before="0" w:lineRule="auto" w:line="276"/>
              <w:jc w:val="left"/>
            </w:pPr>
            <w:r>
              <w:rPr>
                <w:rFonts w:ascii="Times New Roman" w:hAnsi="Times New Roman" w:cs="Times New Roman" w:eastAsia="Times New Roman"/>
                <w:b w:val="false"/>
                <w:sz w:val="26"/>
              </w:rPr>
              <w:t>Thông tư số 05/2023/TT-BTTTT sửa đổi, bổ sung một số điều của Thông tư số 19/2016/TT-BTTTT ngày 30/6/2016</w:t>
            </w:r>
          </w:p>
        </w:tc>
        <w:tc>
          <w:p/>
          <w:p>
            <w:pPr>
              <w:spacing w:after="0" w:before="0" w:lineRule="auto" w:line="276"/>
              <w:jc w:val="left"/>
            </w:pPr>
            <w:r>
              <w:rPr>
                <w:rFonts w:ascii="Times New Roman" w:hAnsi="Times New Roman" w:cs="Times New Roman" w:eastAsia="Times New Roman"/>
                <w:b w:val="false"/>
                <w:sz w:val="26"/>
              </w:rPr>
              <w:t>30-06-2023</w:t>
            </w:r>
          </w:p>
        </w:tc>
        <w:tc>
          <w:p/>
          <w:p>
            <w:pPr>
              <w:spacing w:after="0" w:before="0" w:lineRule="auto" w:line="276"/>
              <w:jc w:val="left"/>
            </w:pPr>
            <w:r>
              <w:rPr>
                <w:rFonts w:ascii="Times New Roman" w:hAnsi="Times New Roman" w:cs="Times New Roman" w:eastAsia="Times New Roman"/>
                <w:b w:val="false"/>
                <w:sz w:val="26"/>
              </w:rPr>
              <w:t>Bộ Khoa học và Công nghệ ( Bộ TTTT cũ)</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Hồ sơ đăng ký lần đầu thực hiện cùng với hồ sơ đề nghị cấp Giấy phép cung cấp dịch vụ phát thanh, truyền hình trả tiền.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2025-11-27T16:27:13Z</dcterms:created>
  <dc:creator>Apache POI</dc:creator>
</cp:coreProperties>
</file>