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thăm dò nước dưới đất, giấy phép khai thác tài nguyên nước .</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đề nghị cấp lại giấy phép nộp 01 bộ hồ sơ trực tiếp hoặc thông qua dịch vụ bưu chính viễn thông hoặc qua ủy quyền theo quy định của pháp luật hoặc trực tuyến tại cổng dịch vụ công đến Bộ phận Một cửa hoặc Trung tâm Phục vụ hành chính công của Ủy ban nhân dân cấp tỉnh hoặc Sở Nông nghiệp và Môi trường (đối với trường hợp địa phương chưa thành lập Bộ phận một cửa hoặc Trung tâm Phục vụ hành chính công), sau đây gọi tắt là Bộ phận Một cửa.</w:t>
      </w:r>
    </w:p>
    <w:p>
      <w:pPr>
        <w:spacing w:after="0" w:before="0" w:lineRule="auto" w:line="276"/>
        <w:jc w:val="both"/>
      </w:pPr>
      <w:r>
        <w:rPr>
          <w:rFonts w:ascii="Times New Roman" w:hAnsi="Times New Roman" w:cs="Times New Roman" w:eastAsia="Times New Roman"/>
          <w:b w:val="false"/>
          <w:sz w:val="26"/>
        </w:rPr>
        <w:t>- Bước 2: Tiếp nhận, kiểm tra hồ sơ:
Bộ phận Một cửa có trách nhiệm tiếp nhận hồ sơ, kiểm tra, xem xét tính đầy đủ, hợp lệ của hồ sơ.
+ Trường hợp hồ sơ không hợp lệ, Bộ phận Một cửa trả lại hồ sơ và thông báo rõ lý do cho tổ chức, cá nhân đề nghị cấp lại giấy phép. 
+ Trường hợp hồ sơ hợp lệ, Bộ phận Một cửa chuyển hồ sơ cho Sở Nông nghiệp và Môi trường để tổ chức thẩm định.</w:t>
      </w:r>
    </w:p>
    <w:p>
      <w:pPr>
        <w:spacing w:after="0" w:before="0" w:lineRule="auto" w:line="276"/>
        <w:jc w:val="both"/>
      </w:pPr>
      <w:r>
        <w:rPr>
          <w:rFonts w:ascii="Times New Roman" w:hAnsi="Times New Roman" w:cs="Times New Roman" w:eastAsia="Times New Roman"/>
          <w:b w:val="false"/>
          <w:sz w:val="26"/>
        </w:rPr>
        <w:t>- Bước 3: Thẩm định hồ sơ và quyết định cấp lại giấy phép:
Kể từ ngày nhận đủ hồ sơ hợp lệ, Sở Nông nghiệp và Môi trường có trách nhiệm thẩm định hồ sơ.
+ Trường hợp đủ điều kiện để cấp lại, Sở Nông nghiệp và Môi trường trình Ủy ban nhân dân cấp tỉnh cấp lại giấy phép
+ Trường hợp không đủ điều kiện để cấp lại giấy phép thì trả lại hồ sơ cho tổ chức, cá nhân đề nghị cấp lại giấy phép và thông báo rõ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UBND cấp tỉnh)</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hồ sơ: Trong thời hạn 14 ngày, kể từ ngày nhận đủ hồ sơ, Sở Nông nghiệp và Môi trường có trách nhiệm thẩm định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UBND cấp tỉnh)</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hồ sơ: Trong thời hạn 14 ngày, kể từ ngày nhận đủ hồ sơ, Sở Nông nghiệp và Môi trường có trách nhiệm thẩm định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UBND cấp tỉnh)</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hồ sơ: Trong thời hạn 14 ngày, kể từ ngày nhận đủ hồ sơ, Sở Nông nghiệp và Môi trường có trách nhiệm thẩm định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giấy phép theo Mẫu 09 Phụ lục I, Nghị định số 54/2024/NĐ-CP</w:t>
            </w:r>
          </w:p>
        </w:tc>
        <w:tc>
          <w:p/>
          <w:p>
            <w:pPr>
              <w:spacing w:after="0" w:before="0" w:lineRule="auto" w:line="276"/>
              <w:jc w:val="left"/>
            </w:pPr>
            <w:r>
              <w:rPr>
                <w:rFonts w:ascii="Times New Roman" w:hAnsi="Times New Roman" w:cs="Times New Roman" w:eastAsia="Times New Roman"/>
                <w:b w:val="false"/>
                <w:sz w:val="26"/>
              </w:rPr>
              <w:t>Mau09.doc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đề nghị cấp lại giấy phép (đối với trường hợp đổi tên, nhận chuyển nhượng, bàn giao, sáp nhập, chia tách, cơ cấu lại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việc cấp lại giấy phép do chuyển nhượng, hồ sơ còn phải bao gồm giấy tờ chứng minh việc chuyển nhượng công trình, việc hoàn thành nghĩa vụ tài chính liên quan đến hoạt động khai thác nước và các tài liệu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hoặc bản điện tử qua hệ thống cổng dịch vụ công trực tuyến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lại giấy phép thăm dò nước dưới đất (cấp tỉnh), Quyết định Cấp lại giấy phép khai thác nước dưới đất (cấp tỉnh), Quyết định Cấp lại giấy phép khai thác nước mặt (cấp tỉnh), Quyết định Cấp lại giấy phép khai thác nước biển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136/2025/NĐ-CP</w:t>
            </w:r>
          </w:p>
        </w:tc>
        <w:tc>
          <w:p/>
          <w:p>
            <w:pPr>
              <w:spacing w:after="0" w:before="0" w:lineRule="auto" w:line="276"/>
              <w:jc w:val="left"/>
            </w:pPr>
            <w:r>
              <w:rPr>
                <w:rFonts w:ascii="Times New Roman" w:hAnsi="Times New Roman" w:cs="Times New Roman" w:eastAsia="Times New Roman"/>
                <w:b w:val="false"/>
                <w:sz w:val="26"/>
              </w:rPr>
              <w:t>Nghị định 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2025-11-27T16:27:27Z</dcterms:created>
  <dc:creator>Apache POI</dc:creator>
</cp:coreProperties>
</file>