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nhập cảnh thi hài, hài cốt, tro cốt về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Hồi hương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có yêu cầu chuẩn bị hồ sơ theo quy định và nộp hồ sơ tại Cơ quan đại diện nơi có người chết hoặc Cơ quan đại diện kiêm nhiệm nước đó hoặc          Cơ quan đại diện nơi thuận tiện nhất, nếu ở nước có người chết không có           Cơ quan đại diện.</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Nếu thấy hồ sơ đầy đủ, hợp lệ, đúng quy định, trừ trường hợp người chết thuộc diện chưa được phép nhập cảnh vì lý do bảo vệ an ninh quốc gia và trật tự an toàn xã hội (được xem xét giải quyết đối với từng trường hợp cụ thể), thì cán bộ lãnh sự báo cáo Trưởng cơ quan đại diện ký cấp Giấy phép cho người đề nghị.
	+ Ghi vào Sổ cấp phép nhập cảnh thi hài, hài cốt, tro cốt; thông báo việc cấp Giấy phép cho Cục Lãnh sự - Bộ Ngoại giao, Hải quan cửa khẩu và Cơ quan quản lý xuất nhập cảnh cửa khẩu liên quan; Đóng dấu hủy Hộ chiếu hoặc giấy tờ có giá trị xuất cảnh, nhập cảnh của người chết do cơ quan chức năng của Việt Nam cấp (nếu có); thông báo hủy giá trị Hộ chiếu/giấy tờ về Cục Quản lý xuất nhập cảnh - Bộ Công 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t>Phí : Không thu phí Đồng</w:t>
            </w:r>
          </w:p>
        </w:tc>
        <w:tc>
          <w:p/>
          <w:p>
            <w:pPr>
              <w:spacing w:after="0" w:before="0" w:lineRule="auto" w:line="276"/>
              <w:jc w:val="left"/>
            </w:pPr>
            <w:r>
              <w:rPr>
                <w:rFonts w:ascii="Times New Roman" w:hAnsi="Times New Roman" w:cs="Times New Roman" w:eastAsia="Times New Roman"/>
                <w:b w:val="false"/>
                <w:sz w:val="26"/>
              </w:rPr>
              <w:t>- Người đề nghị nộp hồ sơ trực tiếp tại Cơ quan đại diện Việt Nam ở nước ngoài hoặc gửi qua đường hệ thống bưu chính. 
- Hồ sơ có thể được nộp qua môi trường điện tử trong trường hợp cơ sở hạ tầng kỹ thuật tại Cơ quan đại diện Việt Nam ở nước ngoài cho phép (bao gồm việc kết nối với cơ sở dữ liệu quốc gia về dân cư)
- 01 ngày kể từ ngày nhận đủ hồ sơ hợp lệ.
	- Đối với các trường hợp người chết thuộc diện chưa được phép nhập cảnh Việt Nam vì lý do an ninh quốc gia và trật tự an toàn xã hội hoặc chết do mắc bệnh truyền nhiễm nguy hiểm, dễ lây lan: Trong vòng 01 ngày làm việc kể từ ngày nhận được đủ hồ sơ hợp lệ, Cơ quan đại diện Việt Nam ở nước ngoài gửi văn bản thông báo rõ các chi tiết nhân thân của người chết cho Cục Lãnh sự, Bộ Ngoại giao. Sau khi tham khảo các cơ quan chức năng trong nước, Cục Lãnh sự thông báo kết quả cho Cơ quan đại diện Việt Nam ở nước ngoài, trong vòng 01 ngày làm việc kể từ ngày nhận được thông báo đồng ý của Cục Lãnh sự, Cơ quan đại diện Việt Nam ở nước ngoài cấp Giấy phép và trả lời kết quả cho người đề nghị.</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của người chết</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chụp giấy tờ chứng minh nhân thân của người chết (Chứng minh nhân dân, Thẻ căn cước, hộ chiếu hoặc giấy tờ có giá trị nhập cảnh, xuất cảnh).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chụp giấy phép thường trú tại Việt Nam của người chết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chụp Giấy chứng nhận vệ sinh, kiểm dịch y tế do cơ quan có thẩm quyền của nước ngoài cấp (đối với thi hài); Giấy chứng nhận khai quật và Giấy chứng nhận vệ sinh, kiểm dịch y tế do cơ quan có thẩm quyền của nước ngoài cấp (đối với hài cốt); Giấy chứng nhận hỏa thiêu thi hài (đối với tro cốt)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chụp Đơn xin phép mang thi hài/hài cốt/tro cốt của người thân về chôn cất/bảo quản tại địa phương  (mẫu số 02/NG-LS ban hành kèm theo Thông tư số 01/2011/TT-BNG) có xác nhận đồng ý của ủy ban nhân dân xã, phường, thị trấn hoặc cơ quan quản lý nghĩa trang tại Việt Nam</w:t>
            </w:r>
          </w:p>
        </w:tc>
        <w:tc>
          <w:p/>
          <w:p>
            <w:pPr>
              <w:spacing w:after="0" w:before="0" w:lineRule="auto" w:line="276"/>
              <w:jc w:val="left"/>
            </w:pPr>
            <w:r>
              <w:rPr>
                <w:rFonts w:ascii="Times New Roman" w:hAnsi="Times New Roman" w:cs="Times New Roman" w:eastAsia="Times New Roman"/>
                <w:b w:val="false"/>
                <w:sz w:val="26"/>
              </w:rPr>
              <w:t>mauso 02.doc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chụp Giấy chứng tử do cơ quan có thẩm quyền của nước ngoài hoặc Cơ quan đại diện Việt Nam ở nước ngoài cấp cho người chết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phép do cơ quan có thẩm quyền nước sở tại cho phép xuất cảnh thi hài/di hài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của người đề nghị</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đưa thi hài, hài cốt, tro cốt về nước theo mẫu số 01/NG-LS ban hành kèm theo Thông tư số 01/2011/TT-BNG</w:t>
            </w:r>
          </w:p>
        </w:tc>
        <w:tc>
          <w:p/>
          <w:p>
            <w:pPr>
              <w:spacing w:after="0" w:before="0" w:lineRule="auto" w:line="276"/>
              <w:jc w:val="left"/>
            </w:pPr>
            <w:r>
              <w:rPr>
                <w:rFonts w:ascii="Times New Roman" w:hAnsi="Times New Roman" w:cs="Times New Roman" w:eastAsia="Times New Roman"/>
                <w:b w:val="false"/>
                <w:sz w:val="26"/>
              </w:rPr>
              <w:t>mauso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chụp hộ chiếu hoặc giấy tờ có giá trị xuất cảnh, nhập cảnh của người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chụp giấy tờ chứng minh quan hệ thân nhân với người chết;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chụp một trong các loại giấy tờ: căn cước công dân, giấy xác nhận thông tin về cư trú, giấy thông báo số định danh cá nhân và thông tin công dân trong Cơ sở dữ liệu quốc gia về dân cư trong trường hợp người chết là người Việt Nam cư trú ở nước ngoài có thân nhân thường trú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văn bản ủy quyền trong trường hợp người đề nghị được thân nhân của người chết ủy quyền bằng văn bản. - Bản gốc văn bản ủy quyền trong trường hợp người đề nghị là cơ quan, đơn vị chủ quản của người chết.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 Cơ quan lãnh sự</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cấp phép nhập cảnh thi hài, hài cốt, tro cốt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05/2002/QĐ-BNG</w:t>
            </w:r>
          </w:p>
        </w:tc>
        <w:tc>
          <w:p/>
          <w:p>
            <w:pPr>
              <w:spacing w:after="0" w:before="0" w:lineRule="auto" w:line="276"/>
              <w:jc w:val="left"/>
            </w:pPr>
            <w:r>
              <w:rPr>
                <w:rFonts w:ascii="Times New Roman" w:hAnsi="Times New Roman" w:cs="Times New Roman" w:eastAsia="Times New Roman"/>
                <w:b w:val="false"/>
                <w:sz w:val="26"/>
              </w:rPr>
              <w:t>	 Quyết định 05/2002/QĐ-BNG</w:t>
            </w:r>
          </w:p>
        </w:tc>
        <w:tc>
          <w:p/>
          <w:p>
            <w:pPr>
              <w:spacing w:after="0" w:before="0" w:lineRule="auto" w:line="276"/>
              <w:jc w:val="left"/>
            </w:pPr>
            <w:r>
              <w:rPr>
                <w:rFonts w:ascii="Times New Roman" w:hAnsi="Times New Roman" w:cs="Times New Roman" w:eastAsia="Times New Roman"/>
                <w:b w:val="false"/>
                <w:sz w:val="26"/>
              </w:rPr>
              <w:t>30-07-2002</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01/2011/TT-BNG</w:t>
            </w:r>
          </w:p>
        </w:tc>
        <w:tc>
          <w:p/>
          <w:p>
            <w:pPr>
              <w:spacing w:after="0" w:before="0" w:lineRule="auto" w:line="276"/>
              <w:jc w:val="left"/>
            </w:pPr>
            <w:r>
              <w:rPr>
                <w:rFonts w:ascii="Times New Roman" w:hAnsi="Times New Roman" w:cs="Times New Roman" w:eastAsia="Times New Roman"/>
                <w:b w:val="false"/>
                <w:sz w:val="26"/>
              </w:rPr>
              <w:t>Thông tư 01/2011/TT-BNG</w:t>
            </w:r>
          </w:p>
        </w:tc>
        <w:tc>
          <w:p/>
          <w:p>
            <w:pPr>
              <w:spacing w:after="0" w:before="0" w:lineRule="auto" w:line="276"/>
              <w:jc w:val="left"/>
            </w:pPr>
            <w:r>
              <w:rPr>
                <w:rFonts w:ascii="Times New Roman" w:hAnsi="Times New Roman" w:cs="Times New Roman" w:eastAsia="Times New Roman"/>
                <w:b w:val="false"/>
                <w:sz w:val="26"/>
              </w:rPr>
              <w:t>20-06-2011</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06/2023/TT-BNG</w:t>
            </w:r>
          </w:p>
        </w:tc>
        <w:tc>
          <w:p/>
          <w:p>
            <w:pPr>
              <w:spacing w:after="0" w:before="0" w:lineRule="auto" w:line="276"/>
              <w:jc w:val="left"/>
            </w:pPr>
            <w:r>
              <w:rPr>
                <w:rFonts w:ascii="Times New Roman" w:hAnsi="Times New Roman" w:cs="Times New Roman" w:eastAsia="Times New Roman"/>
                <w:b w:val="false"/>
                <w:sz w:val="26"/>
              </w:rPr>
              <w:t>Thông tư 06/2023/TT-BNG sửa đổi, bổ sung một số điều của Thông tư số 01/2011/TT-BNG ngày 20 tháng 6 năm 2011 của Bộ Ngoại giao Quy định thủ tục cấp giấy phép nhập cảnh thi hài, hài cốt, tro cốt về Việt Nam; Thông tư số 02/2011/TT-BNG ngày 27 tháng 6 năm 2011 của Bộ Ngoại giao Hướng dẫn thủ tục đăng ký công dân Việt Nam ở nước ngoài; Thông tư số 04/2020/TT-BNG ngày 25 tháng 9 năm 2020 Hướng dẫn việc cấp, gia hạn, hủy giá trị sử dụng hộ chiếu ngoại giao, hộ chiếu công vụ và cấp công hàm đề nghị phía nước ngoài cấp thị thực.</w:t>
            </w:r>
          </w:p>
        </w:tc>
        <w:tc>
          <w:p/>
          <w:p>
            <w:pPr>
              <w:spacing w:after="0" w:before="0" w:lineRule="auto" w:line="276"/>
              <w:jc w:val="left"/>
            </w:pPr>
            <w:r>
              <w:rPr>
                <w:rFonts w:ascii="Times New Roman" w:hAnsi="Times New Roman" w:cs="Times New Roman" w:eastAsia="Times New Roman"/>
                <w:b w:val="false"/>
                <w:sz w:val="26"/>
              </w:rPr>
              <w:t>26-12-2023</w:t>
            </w:r>
          </w:p>
        </w:tc>
        <w:tc>
          <w:p/>
          <w:p>
            <w:pPr>
              <w:spacing w:after="0" w:before="0" w:lineRule="auto" w:line="276"/>
              <w:jc w:val="left"/>
            </w:pPr>
            <w:r>
              <w:rPr>
                <w:rFonts w:ascii="Times New Roman" w:hAnsi="Times New Roman" w:cs="Times New Roman" w:eastAsia="Times New Roman"/>
                <w:b w:val="false"/>
                <w:sz w:val="26"/>
              </w:rPr>
              <w:t>Bộ Ngoại giao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Hồ sơ có thể được nộp qua môi trường điện tử trong trường hợp cơ sở hạ tầng kỹ thuật tại Cơ quan đại diện Việt Nam ở nước ngoài cho phép.
* Lưu ý: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xuất trình giấy tờ tuỳ thân, nộp các giấy tờ là thành phần hồ sơ theo quy định của pháp luật hộ tịch.
+ Trường hợp người yêu cầu không cung cấp được giấy tờ nêu trên theo quy định hoặc giấy tờ nộp, xuất trình bị tẩy xóa, sửa chữa, làm giả thì cơ quan đại diện hủy bỏ kết quả giải quyết.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2025-11-27T16:27:26Z</dcterms:created>
  <dc:creator>Apache POI</dc:creator>
</cp:coreProperties>
</file>