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4799" w:rsidRDefault="00CE384F">
      <w:pPr>
        <w:spacing w:after="300" w:line="276" w:lineRule="auto"/>
        <w:jc w:val="center"/>
      </w:pPr>
      <w:r>
        <w:rPr>
          <w:rFonts w:ascii="Times New Roman" w:eastAsia="Times New Roman" w:hAnsi="Times New Roman" w:cs="Times New Roman"/>
          <w:b/>
          <w:sz w:val="26"/>
        </w:rPr>
        <w:t>Chi tiết thủ tục hành chính</w:t>
      </w:r>
    </w:p>
    <w:p w:rsidR="00C54799" w:rsidRDefault="00CE384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1.000829</w:t>
      </w:r>
    </w:p>
    <w:p w:rsidR="00C54799" w:rsidRDefault="00CE384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QĐ/0001-NHPTVN</w:t>
      </w:r>
    </w:p>
    <w:p w:rsidR="00C54799" w:rsidRDefault="00CE384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Thanh toán vốn bồi thường, hỗ trợ và tái định cư thuỷ điện Sơn La\cấp vốn\Hỗ trợ di chuyển mồ mả</w:t>
      </w:r>
    </w:p>
    <w:p w:rsidR="00C54799" w:rsidRDefault="00CE384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C54799" w:rsidRDefault="00CE384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C54799" w:rsidRDefault="00CE384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vốn uỷ thác</w:t>
      </w:r>
    </w:p>
    <w:p w:rsidR="00C54799" w:rsidRDefault="00CE384F">
      <w:pPr>
        <w:spacing w:after="0" w:line="276" w:lineRule="auto"/>
        <w:jc w:val="both"/>
      </w:pPr>
      <w:r>
        <w:rPr>
          <w:rFonts w:ascii="Times New Roman" w:eastAsia="Times New Roman" w:hAnsi="Times New Roman" w:cs="Times New Roman"/>
          <w:b/>
          <w:sz w:val="26"/>
        </w:rPr>
        <w:t xml:space="preserve">Trình tự thực hiện: </w:t>
      </w:r>
    </w:p>
    <w:p w:rsidR="00C54799" w:rsidRDefault="00C54799">
      <w:pPr>
        <w:shd w:val="clear" w:color="auto" w:fill="F2F6F9"/>
        <w:spacing w:before="120" w:after="0" w:line="276" w:lineRule="auto"/>
        <w:jc w:val="both"/>
      </w:pPr>
    </w:p>
    <w:p w:rsidR="00C54799" w:rsidRDefault="00CE384F">
      <w:pPr>
        <w:spacing w:after="0" w:line="276" w:lineRule="auto"/>
        <w:jc w:val="both"/>
      </w:pPr>
      <w:r>
        <w:rPr>
          <w:rFonts w:ascii="Times New Roman" w:eastAsia="Times New Roman" w:hAnsi="Times New Roman" w:cs="Times New Roman"/>
          <w:sz w:val="26"/>
        </w:rPr>
        <w:t>- Bước 5:  Phòng Tài chính kế toán hạch toán, phân loại chứng từ, trả khách hàng và chuyển phòng nghiệp vụ, thực hiện lưu giữ.</w:t>
      </w:r>
    </w:p>
    <w:p w:rsidR="00C54799" w:rsidRDefault="00CE384F">
      <w:pPr>
        <w:spacing w:after="0" w:line="276" w:lineRule="auto"/>
        <w:jc w:val="both"/>
      </w:pPr>
      <w:r>
        <w:rPr>
          <w:rFonts w:ascii="Times New Roman" w:eastAsia="Times New Roman" w:hAnsi="Times New Roman" w:cs="Times New Roman"/>
          <w:sz w:val="26"/>
        </w:rPr>
        <w:t>- Bước 4:  Phòng Tài chính kế toán trình Lãnh đạo Chi nhánh duyệt chứng từ.</w:t>
      </w:r>
    </w:p>
    <w:p w:rsidR="00C54799" w:rsidRDefault="00CE384F">
      <w:pPr>
        <w:spacing w:after="0" w:line="276" w:lineRule="auto"/>
        <w:jc w:val="both"/>
      </w:pPr>
      <w:r>
        <w:rPr>
          <w:rFonts w:ascii="Times New Roman" w:eastAsia="Times New Roman" w:hAnsi="Times New Roman" w:cs="Times New Roman"/>
          <w:sz w:val="26"/>
        </w:rPr>
        <w:t>- Bước 1: Tiếp nhận hồ sơ:  Phòng nghiệp vụ tiếp nhận, kiểm tra hồ sơ thanh toán, yêu cầu Ban QLDA hoàn thiện hồ sơ (nếu có sai sót).</w:t>
      </w:r>
    </w:p>
    <w:p w:rsidR="00C54799" w:rsidRDefault="00CE384F">
      <w:pPr>
        <w:spacing w:after="0" w:line="276" w:lineRule="auto"/>
        <w:jc w:val="both"/>
      </w:pPr>
      <w:r>
        <w:rPr>
          <w:rFonts w:ascii="Times New Roman" w:eastAsia="Times New Roman" w:hAnsi="Times New Roman" w:cs="Times New Roman"/>
          <w:sz w:val="26"/>
        </w:rPr>
        <w:t>- Bước 2:  Sau khi kiểm tra, chuyển trình Lãnh đạo Chi nhánh phê duyệt.</w:t>
      </w:r>
    </w:p>
    <w:p w:rsidR="00C54799" w:rsidRDefault="00CE384F">
      <w:pPr>
        <w:spacing w:after="0" w:line="276" w:lineRule="auto"/>
        <w:jc w:val="both"/>
      </w:pPr>
      <w:r>
        <w:rPr>
          <w:rFonts w:ascii="Times New Roman" w:eastAsia="Times New Roman" w:hAnsi="Times New Roman" w:cs="Times New Roman"/>
          <w:sz w:val="26"/>
        </w:rPr>
        <w:t>- Bước 3: Phòng nghiệp vụ tiếp nhận hồ sơ do Lãnh đạo Chi nhánh duyệt, chuyển phòng tài chính kế toán hướng dẫn khách hàng hoàn lập chứng từ rút vốn.</w:t>
      </w:r>
    </w:p>
    <w:p w:rsidR="00C54799" w:rsidRDefault="00CE384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86"/>
        <w:gridCol w:w="1386"/>
        <w:gridCol w:w="2127"/>
        <w:gridCol w:w="4812"/>
      </w:tblGrid>
      <w:tr w:rsidR="00C54799">
        <w:tblPrEx>
          <w:tblCellMar>
            <w:top w:w="0" w:type="dxa"/>
            <w:bottom w:w="0" w:type="dxa"/>
          </w:tblCellMar>
        </w:tblPrEx>
        <w:tc>
          <w:tcPr>
            <w:tcW w:w="1500" w:type="dxa"/>
          </w:tcPr>
          <w:p w:rsidR="00C54799" w:rsidRDefault="00C54799"/>
          <w:p w:rsidR="00C54799" w:rsidRDefault="00CE384F">
            <w:pPr>
              <w:spacing w:after="0" w:line="276" w:lineRule="auto"/>
              <w:jc w:val="center"/>
            </w:pPr>
            <w:r>
              <w:rPr>
                <w:rFonts w:ascii="Times New Roman" w:eastAsia="Times New Roman" w:hAnsi="Times New Roman" w:cs="Times New Roman"/>
                <w:b/>
                <w:sz w:val="26"/>
              </w:rPr>
              <w:t>Hình thức nộp</w:t>
            </w:r>
          </w:p>
        </w:tc>
        <w:tc>
          <w:tcPr>
            <w:tcW w:w="2000" w:type="dxa"/>
          </w:tcPr>
          <w:p w:rsidR="00C54799" w:rsidRDefault="00C54799"/>
          <w:p w:rsidR="00C54799" w:rsidRDefault="00CE384F">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54799" w:rsidRDefault="00C54799"/>
          <w:p w:rsidR="00C54799" w:rsidRDefault="00CE384F">
            <w:pPr>
              <w:spacing w:after="0" w:line="276" w:lineRule="auto"/>
              <w:jc w:val="center"/>
            </w:pPr>
            <w:r>
              <w:rPr>
                <w:rFonts w:ascii="Times New Roman" w:eastAsia="Times New Roman" w:hAnsi="Times New Roman" w:cs="Times New Roman"/>
                <w:b/>
                <w:sz w:val="26"/>
              </w:rPr>
              <w:t>Phí, lệ phí</w:t>
            </w:r>
          </w:p>
        </w:tc>
        <w:tc>
          <w:tcPr>
            <w:tcW w:w="3000" w:type="dxa"/>
          </w:tcPr>
          <w:p w:rsidR="00C54799" w:rsidRDefault="00C54799"/>
          <w:p w:rsidR="00C54799" w:rsidRDefault="00CE384F">
            <w:pPr>
              <w:spacing w:after="0" w:line="276" w:lineRule="auto"/>
              <w:jc w:val="center"/>
            </w:pPr>
            <w:r>
              <w:rPr>
                <w:rFonts w:ascii="Times New Roman" w:eastAsia="Times New Roman" w:hAnsi="Times New Roman" w:cs="Times New Roman"/>
                <w:b/>
                <w:sz w:val="26"/>
              </w:rPr>
              <w:t>Mô tả</w:t>
            </w:r>
          </w:p>
        </w:tc>
      </w:tr>
      <w:tr w:rsidR="00C54799">
        <w:tblPrEx>
          <w:tblCellMar>
            <w:top w:w="0" w:type="dxa"/>
            <w:bottom w:w="0" w:type="dxa"/>
          </w:tblCellMar>
        </w:tblPrEx>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Trực tiếp</w:t>
            </w:r>
          </w:p>
        </w:tc>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7 Ngày làm việc</w:t>
            </w:r>
          </w:p>
        </w:tc>
        <w:tc>
          <w:tcPr>
            <w:tcW w:w="0" w:type="auto"/>
          </w:tcPr>
          <w:p w:rsidR="00C54799" w:rsidRDefault="00C54799"/>
          <w:p w:rsidR="00C54799" w:rsidRDefault="00C54799">
            <w:pPr>
              <w:spacing w:after="0" w:line="276" w:lineRule="auto"/>
            </w:pPr>
          </w:p>
        </w:tc>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Tối đa 07 ngày làm việc kể từ khi nhận đủ hồ sơ đề nghị cấp vốn theo quy định.</w:t>
            </w:r>
          </w:p>
        </w:tc>
      </w:tr>
    </w:tbl>
    <w:p w:rsidR="00C54799" w:rsidRDefault="00CE384F">
      <w:pPr>
        <w:spacing w:before="240" w:after="0" w:line="276" w:lineRule="auto"/>
        <w:jc w:val="both"/>
      </w:pPr>
      <w:r>
        <w:rPr>
          <w:rFonts w:ascii="Times New Roman" w:eastAsia="Times New Roman" w:hAnsi="Times New Roman" w:cs="Times New Roman"/>
          <w:b/>
          <w:sz w:val="26"/>
        </w:rPr>
        <w:t xml:space="preserve">Thành phần hồ sơ: </w:t>
      </w:r>
    </w:p>
    <w:p w:rsidR="00C54799" w:rsidRDefault="00CE384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95"/>
        <w:gridCol w:w="1821"/>
        <w:gridCol w:w="1095"/>
      </w:tblGrid>
      <w:tr w:rsidR="00C54799">
        <w:tblPrEx>
          <w:tblCellMar>
            <w:top w:w="0" w:type="dxa"/>
            <w:bottom w:w="0" w:type="dxa"/>
          </w:tblCellMar>
        </w:tblPrEx>
        <w:tc>
          <w:tcPr>
            <w:tcW w:w="6000" w:type="dxa"/>
          </w:tcPr>
          <w:p w:rsidR="00C54799" w:rsidRDefault="00C54799"/>
          <w:p w:rsidR="00C54799" w:rsidRDefault="00CE384F">
            <w:pPr>
              <w:spacing w:after="0" w:line="276" w:lineRule="auto"/>
              <w:jc w:val="center"/>
            </w:pPr>
            <w:r>
              <w:rPr>
                <w:rFonts w:ascii="Times New Roman" w:eastAsia="Times New Roman" w:hAnsi="Times New Roman" w:cs="Times New Roman"/>
                <w:b/>
                <w:sz w:val="26"/>
              </w:rPr>
              <w:t>Tên giấy tờ</w:t>
            </w:r>
          </w:p>
        </w:tc>
        <w:tc>
          <w:tcPr>
            <w:tcW w:w="2000" w:type="dxa"/>
          </w:tcPr>
          <w:p w:rsidR="00C54799" w:rsidRDefault="00C54799"/>
          <w:p w:rsidR="00C54799" w:rsidRDefault="00CE384F">
            <w:pPr>
              <w:spacing w:after="0" w:line="276" w:lineRule="auto"/>
              <w:jc w:val="center"/>
            </w:pPr>
            <w:r>
              <w:rPr>
                <w:rFonts w:ascii="Times New Roman" w:eastAsia="Times New Roman" w:hAnsi="Times New Roman" w:cs="Times New Roman"/>
                <w:b/>
                <w:sz w:val="26"/>
              </w:rPr>
              <w:t>Mẫu đơn, tờ khai</w:t>
            </w:r>
          </w:p>
        </w:tc>
        <w:tc>
          <w:tcPr>
            <w:tcW w:w="2000" w:type="dxa"/>
          </w:tcPr>
          <w:p w:rsidR="00C54799" w:rsidRDefault="00C54799"/>
          <w:p w:rsidR="00C54799" w:rsidRDefault="00CE384F">
            <w:pPr>
              <w:spacing w:after="0" w:line="276" w:lineRule="auto"/>
              <w:jc w:val="center"/>
            </w:pPr>
            <w:r>
              <w:rPr>
                <w:rFonts w:ascii="Times New Roman" w:eastAsia="Times New Roman" w:hAnsi="Times New Roman" w:cs="Times New Roman"/>
                <w:b/>
                <w:sz w:val="26"/>
              </w:rPr>
              <w:t>Số lượng</w:t>
            </w:r>
          </w:p>
        </w:tc>
      </w:tr>
      <w:tr w:rsidR="00C54799">
        <w:tblPrEx>
          <w:tblCellMar>
            <w:top w:w="0" w:type="dxa"/>
            <w:bottom w:w="0" w:type="dxa"/>
          </w:tblCellMar>
        </w:tblPrEx>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I. Tài liệu cơ sở: Quy hoạch chi tiết và văn bản phê duyệt của cấp có thẩm quyền - Bản chính hoặc bản sao có đóng dấu sao y bản chính của chủ đầu tư.</w:t>
            </w:r>
          </w:p>
        </w:tc>
        <w:tc>
          <w:tcPr>
            <w:tcW w:w="0" w:type="auto"/>
          </w:tcPr>
          <w:p w:rsidR="00C54799" w:rsidRDefault="00C54799"/>
        </w:tc>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0</w:t>
            </w:r>
          </w:p>
        </w:tc>
      </w:tr>
      <w:tr w:rsidR="00C54799">
        <w:tblPrEx>
          <w:tblCellMar>
            <w:top w:w="0" w:type="dxa"/>
            <w:bottom w:w="0" w:type="dxa"/>
          </w:tblCellMar>
        </w:tblPrEx>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Phương án hỗ trợ được phê duyệt của cấp có thẩm quyền - Bản chính hoặc bản sao có đóng dấu sao y bản chính của chủ đầu tư.</w:t>
            </w:r>
          </w:p>
        </w:tc>
        <w:tc>
          <w:tcPr>
            <w:tcW w:w="0" w:type="auto"/>
          </w:tcPr>
          <w:p w:rsidR="00C54799" w:rsidRDefault="00C54799"/>
        </w:tc>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54799">
        <w:tblPrEx>
          <w:tblCellMar>
            <w:top w:w="0" w:type="dxa"/>
            <w:bottom w:w="0" w:type="dxa"/>
          </w:tblCellMar>
        </w:tblPrEx>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Dự toán chi phí hỗ trợ được phê duyệt của cấp có thẩm quyền - Bản chính hoặc bản sao có đóng dấu sao y bản chính của chủ đầu tư.</w:t>
            </w:r>
          </w:p>
        </w:tc>
        <w:tc>
          <w:tcPr>
            <w:tcW w:w="0" w:type="auto"/>
          </w:tcPr>
          <w:p w:rsidR="00C54799" w:rsidRDefault="00C54799"/>
        </w:tc>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54799">
        <w:tblPrEx>
          <w:tblCellMar>
            <w:top w:w="0" w:type="dxa"/>
            <w:bottom w:w="0" w:type="dxa"/>
          </w:tblCellMar>
        </w:tblPrEx>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II. Khi tạm ứng vốn: Kế hoạch vốn hỗ trợ do UBND tỉnh thông báo - Bản chính hoặc bản sao có đóng dấu sao y bản chính của chủ đầu tư.</w:t>
            </w:r>
          </w:p>
        </w:tc>
        <w:tc>
          <w:tcPr>
            <w:tcW w:w="0" w:type="auto"/>
          </w:tcPr>
          <w:p w:rsidR="00C54799" w:rsidRDefault="00C54799"/>
        </w:tc>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54799">
        <w:tblPrEx>
          <w:tblCellMar>
            <w:top w:w="0" w:type="dxa"/>
            <w:bottom w:w="0" w:type="dxa"/>
          </w:tblCellMar>
        </w:tblPrEx>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Bảng tổng hợp chi phí tạm ứng (Mẫu số 04/QL-TĐSL) – Bản chính.</w:t>
            </w:r>
          </w:p>
        </w:tc>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MÉu biÓu sè 04QL- T§SL.doc</w:t>
            </w:r>
          </w:p>
        </w:tc>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54799">
        <w:tblPrEx>
          <w:tblCellMar>
            <w:top w:w="0" w:type="dxa"/>
            <w:bottom w:w="0" w:type="dxa"/>
          </w:tblCellMar>
        </w:tblPrEx>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Giấy đề nghị thanh toán của Ban QLDA - Bản chính.</w:t>
            </w:r>
          </w:p>
        </w:tc>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!MÉu sè 02B TTV - T§SL.doc</w:t>
            </w:r>
          </w:p>
        </w:tc>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54799">
        <w:tblPrEx>
          <w:tblCellMar>
            <w:top w:w="0" w:type="dxa"/>
            <w:bottom w:w="0" w:type="dxa"/>
          </w:tblCellMar>
        </w:tblPrEx>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Chứng từ chuyển tiền – Bản gốc.</w:t>
            </w:r>
          </w:p>
        </w:tc>
        <w:tc>
          <w:tcPr>
            <w:tcW w:w="0" w:type="auto"/>
          </w:tcPr>
          <w:p w:rsidR="00C54799" w:rsidRDefault="00C54799"/>
        </w:tc>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54799">
        <w:tblPrEx>
          <w:tblCellMar>
            <w:top w:w="0" w:type="dxa"/>
            <w:bottom w:w="0" w:type="dxa"/>
          </w:tblCellMar>
        </w:tblPrEx>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III. Khi thanh toán vốn: Giấy đề nghị thanh toán của Ban QLDA - Bản chính.</w:t>
            </w:r>
          </w:p>
        </w:tc>
        <w:tc>
          <w:tcPr>
            <w:tcW w:w="0" w:type="auto"/>
          </w:tcPr>
          <w:p w:rsidR="00C54799" w:rsidRDefault="00C54799"/>
        </w:tc>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54799">
        <w:tblPrEx>
          <w:tblCellMar>
            <w:top w:w="0" w:type="dxa"/>
            <w:bottom w:w="0" w:type="dxa"/>
          </w:tblCellMar>
        </w:tblPrEx>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Danh sách nhận tiền hỗ trợ của hộ dân (Mẫu số 04B/QL-TĐSL) - Bản chính.</w:t>
            </w:r>
          </w:p>
        </w:tc>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!MÉu biÓu sè 04BQL-T§SL.doc</w:t>
            </w:r>
          </w:p>
        </w:tc>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54799">
        <w:tblPrEx>
          <w:tblCellMar>
            <w:top w:w="0" w:type="dxa"/>
            <w:bottom w:w="0" w:type="dxa"/>
          </w:tblCellMar>
        </w:tblPrEx>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Chứng từ chuyển tiền - Bản gốc. Ngoài ra bổ sung thêm: văn bản xác nhận của Ban QLDA, UBND xã nơi đến về việc đã hoàn thành toàn bộ việc di dời mồ mả đến điểm TĐC.</w:t>
            </w:r>
          </w:p>
        </w:tc>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MÉu sè 01A TTV - T§SL.doc</w:t>
            </w:r>
          </w:p>
        </w:tc>
        <w:tc>
          <w:tcPr>
            <w:tcW w:w="0" w:type="auto"/>
          </w:tcPr>
          <w:p w:rsidR="00C54799" w:rsidRDefault="00C54799"/>
          <w:p w:rsidR="00C54799" w:rsidRDefault="00CE384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C54799" w:rsidRDefault="00CE384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C54799" w:rsidRDefault="00CE384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Chi nhánh NHPT Sơn La, Lai Châu, Điện Biên</w:t>
      </w:r>
    </w:p>
    <w:p w:rsidR="00C54799" w:rsidRDefault="00CE384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Giám đốc Chi nhánh NHPT Sơn La, Giám đốc Chi nhánh NHPT Điện Biên, Giám đốc Chi nhánh NHPT Lai Châu</w:t>
      </w:r>
    </w:p>
    <w:p w:rsidR="00C54799" w:rsidRDefault="00CE384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C54799" w:rsidRDefault="00CE384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54799" w:rsidRDefault="00CE384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54799" w:rsidRDefault="00CE384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Phê duyệt, Thanh toán vốn bồi thường, hỗ trợ và tái định cư thuỷ điện Sơn La\cấp vốn\Hỗ trợ di chuyển mồ mả, Chấp thuận phê duyệt</w:t>
      </w:r>
    </w:p>
    <w:p w:rsidR="00C54799" w:rsidRDefault="00CE384F">
      <w:pPr>
        <w:spacing w:after="0" w:line="276" w:lineRule="auto"/>
        <w:jc w:val="both"/>
      </w:pPr>
      <w:r>
        <w:rPr>
          <w:rFonts w:ascii="Times New Roman" w:eastAsia="Times New Roman" w:hAnsi="Times New Roman" w:cs="Times New Roman"/>
          <w:b/>
          <w:sz w:val="26"/>
        </w:rPr>
        <w:t xml:space="preserve">Căn cứ pháp lý: </w:t>
      </w:r>
      <w:r>
        <w:rPr>
          <w:rFonts w:ascii="Times New Roman" w:eastAsia="Times New Roman" w:hAnsi="Times New Roman" w:cs="Times New Roman"/>
          <w:sz w:val="26"/>
        </w:rPr>
        <w:t>Không có thông tin</w:t>
      </w:r>
    </w:p>
    <w:p w:rsidR="00C54799" w:rsidRDefault="00CE384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Thuộc phạm vi, đối tượng, thời điểm áp dụng Quy định về bồi thường, hỗ trợ và tái định cư Dự án thuỷ điện Sơn La ban hành kèm theo Quyết định số 02/2007/QĐ TTg ngày 09/01/2007 của Thủ tướng Chính phủ và các Quyết định điều chỉnh, bổ sung của Thủ tướng Chính phủ (nếu có). (Quyết định số 407/QĐ - NHPT...)  2. Nằm trong Quy hoạch tổng thể di dân, tái định cư dự án Thuỷ điện Sơn La được phê duyệt tại Quyết định số 801/QĐ-TTg ngày 04/06/2010 và các quyết định của Thủ tướng Chính phủ phê duyệt điều chỉnh, bổ s</w:t>
      </w:r>
      <w:r>
        <w:rPr>
          <w:rFonts w:ascii="Times New Roman" w:eastAsia="Times New Roman" w:hAnsi="Times New Roman" w:cs="Times New Roman"/>
          <w:sz w:val="26"/>
        </w:rPr>
        <w:t>ung (nếu có). (Quyết định số 407/QĐ - NHPT...)  3. Nằm trong QHCT khu (điểm) TĐC được UBND các tỉnh: Sơn La, Điện Biên, Lai Châu phê duyệt. (Quyết định số 407/QĐ - NHPT...)  4. Thực hiện theo các quyết định có liên quan của Thủ tướng Chính phủ, của UBND các tỉnh: Sơn La, Điện Biên, Lai Châu. (Quyết định số 407/QĐ - NHPT...)  5. Dự án phải đảm bảo đầy đủ thủ tục đầu tư và xây dựng theo quy định hiện hành. (Quyết định số 407/QĐ - NHPT...)  6. Dự án được bố trí kế hoạch vốn đầu tư hàng năm. (Quyết định số 407/</w:t>
      </w:r>
      <w:r>
        <w:rPr>
          <w:rFonts w:ascii="Times New Roman" w:eastAsia="Times New Roman" w:hAnsi="Times New Roman" w:cs="Times New Roman"/>
          <w:sz w:val="26"/>
        </w:rPr>
        <w:t>QĐ - NHPT...)</w:t>
      </w:r>
    </w:p>
    <w:p w:rsidR="00C54799" w:rsidRDefault="00CE384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C54799" w:rsidRDefault="00CE384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https://thutuc.dichvucong.gov.vn/p/home/dvc-tthc-thu-tuc-hanh-chinh-chi-tiet.html?ma_thu_tuc=1220</w:t>
      </w:r>
    </w:p>
    <w:sectPr w:rsidR="00C5479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54799"/>
    <w:rsid w:val="00C54799"/>
    <w:rsid w:val="00C76991"/>
    <w:rsid w:val="00CE3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D5D979-C81C-432B-B1FD-16886F58A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625</Words>
  <Characters>3563</Characters>
  <Application>Microsoft Office Word</Application>
  <DocSecurity>0</DocSecurity>
  <Lines>29</Lines>
  <Paragraphs>8</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2025-11-27T16:27:00Z</dcterms:created>
  <dcterms:modified xsi:type="dcterms:W3CDTF">2025-11-27T16:27:00Z</dcterms:modified>
</cp:coreProperties>
</file>