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khoản vay nước ngoài/khoản phát hành trái phiếu quốc tế được Chính phủ bảo lãnh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ba mươi (30) ngày kể từ ngày thư bảo lãnh được ký và trước khi thực hiện rút vốn khoản vay nước ngoài, khoản phát hành trái phiếu quốc tế, Bên đi vay gửi trực tiếp hoặc qua đường bưu điện đến Ngân hàng Nhà nước (Cục Quản lý Ngoại hối) một (01) bộ hồ sơ theo quy định.</w:t>
      </w:r>
    </w:p>
    <w:p>
      <w:pPr>
        <w:spacing w:after="0" w:before="0" w:lineRule="auto" w:line="276"/>
        <w:jc w:val="both"/>
      </w:pPr>
      <w:r>
        <w:rPr>
          <w:rFonts w:ascii="Times New Roman" w:hAnsi="Times New Roman" w:cs="Times New Roman" w:eastAsia="Times New Roman"/>
          <w:b w:val="false"/>
          <w:sz w:val="26"/>
        </w:rPr>
        <w:t>- Bước 2: Ngân hàng Nhà nước xem xét và thẩm định hồ sơ, trường hợp hồ sơ không đầy đủ, hợp lệ, NHNN đề nghị doanh nghiệp bổ sung, sửa đổi hồ sơ.</w:t>
      </w:r>
    </w:p>
    <w:p>
      <w:pPr>
        <w:spacing w:after="0" w:before="0" w:lineRule="auto" w:line="276"/>
        <w:jc w:val="both"/>
      </w:pPr>
      <w:r>
        <w:rPr>
          <w:rFonts w:ascii="Times New Roman" w:hAnsi="Times New Roman" w:cs="Times New Roman" w:eastAsia="Times New Roman"/>
          <w:b w:val="false"/>
          <w:sz w:val="26"/>
        </w:rPr>
        <w:t>- Bước 3: Trong thời hạn mười lăm (15) ngày kể từ ngày nhận được hồ sơ đầy đủ, hợp lệ của Bên đi vay, Ngân hàng Nhà nước gửi Bên đi vay văn bản xác nhận đăng ký khoản vay nước ngoài hoặc khoản phát hành trái phiếu quốc tế. Trường hợp từ chối xác nhận đăng ký,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khoản vay nước ngoài (theo Phụ lục 1A ban hành kèm theo Thông tư 22/2013/TT-NHNN)</w:t>
            </w:r>
          </w:p>
        </w:tc>
        <w:tc>
          <w:p/>
          <w:p>
            <w:pPr>
              <w:spacing w:after="0" w:before="0" w:lineRule="auto" w:line="276"/>
              <w:jc w:val="left"/>
            </w:pPr>
            <w:r>
              <w:rPr>
                <w:rFonts w:ascii="Times New Roman" w:hAnsi="Times New Roman" w:cs="Times New Roman" w:eastAsia="Times New Roman"/>
                <w:b w:val="false"/>
                <w:sz w:val="26"/>
              </w:rPr>
              <w:t>PHLC1A.doc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hoặc Đơn đăng ký khoản phát hành trái phiếu quốc tế (theo Phụ lục 1B ban hành kèm theo Thông tư 22/2013/TT-NHNN);</w:t>
            </w:r>
          </w:p>
        </w:tc>
        <w:tc>
          <w:p/>
          <w:p>
            <w:pPr>
              <w:spacing w:after="0" w:before="0" w:lineRule="auto" w:line="276"/>
              <w:jc w:val="left"/>
            </w:pPr>
            <w:r>
              <w:rPr>
                <w:rFonts w:ascii="Times New Roman" w:hAnsi="Times New Roman" w:cs="Times New Roman" w:eastAsia="Times New Roman"/>
                <w:b w:val="false"/>
                <w:sz w:val="26"/>
              </w:rPr>
              <w:t>PHLC1B.doc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pháp lý của Bên đi vay bao gồm: Bản sao được cấp từ sổ gốc hoặc bản sao có chứng thực hoặc bản sao kèm xuất trình bản chính để đối chiếu Giấy phép hoặc Quyết định thành lập Bên đi vay hoặc Giấy chứng nhận đăng ký hoặc Giấy chứng nhận đầu tư theo quy định của pháp luật và các bản sửa đổi (nếu có). Trong trường hợp người nộp hồ sơ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Thư bảo lãnh của Bộ Tài chính (có xác nhận của đại diện có thẩm quyền theo pháp luật của Bên đi vay);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phê duyệt của cấp có thẩm quyền theo quy định của pháp luật đối với dự án đầu tư hoặc phương án sản xuất kinh doanh sử dụng vốn huy động từ khoản vay nước ngoài hoặc khoản phát hành trái phiếu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tiếng nước ngoài và bản dịch tiếng Việt (có xác nhận của đại diện có thẩm quyền theo pháp luật của Bên đi vay về tính chính xác của bản sao và bản dịch) của các tài liệu sau: Hợp đồng vay nước ngoài đã ký; hoặc các hợp đồng liên quan đến đợt phát hành trái phiếu quốc tế (theo cấu trúc đợt phát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khoản vay nước ngoài/khoản phát hành trái phiếu quốc tế được Chính phủ bảo lãnh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22/2013/TT-NHNN</w:t>
            </w:r>
          </w:p>
        </w:tc>
        <w:tc>
          <w:p/>
          <w:p>
            <w:pPr>
              <w:spacing w:after="0" w:before="0" w:lineRule="auto" w:line="276"/>
              <w:jc w:val="left"/>
            </w:pPr>
            <w:r>
              <w:rPr>
                <w:rFonts w:ascii="Times New Roman" w:hAnsi="Times New Roman" w:cs="Times New Roman" w:eastAsia="Times New Roman"/>
                <w:b w:val="false"/>
                <w:sz w:val="26"/>
              </w:rPr>
              <w:t>Thông tư 22/2013/TT-NHNN</w:t>
            </w:r>
          </w:p>
        </w:tc>
        <w:tc>
          <w:p/>
          <w:p>
            <w:pPr>
              <w:spacing w:after="0" w:before="0" w:lineRule="auto" w:line="276"/>
              <w:jc w:val="left"/>
            </w:pPr>
            <w:r>
              <w:rPr>
                <w:rFonts w:ascii="Times New Roman" w:hAnsi="Times New Roman" w:cs="Times New Roman" w:eastAsia="Times New Roman"/>
                <w:b w:val="false"/>
                <w:sz w:val="26"/>
              </w:rPr>
              <w:t>24-09-2013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2025-11-27T16:28:00Z</dcterms:created>
  <dc:creator>Apache POI</dc:creator>
</cp:coreProperties>
</file>