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Billiards &amp; Snooker</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04/2018/TT-BVHTTDL</w:t>
            </w:r>
          </w:p>
        </w:tc>
        <w:tc>
          <w:p/>
          <w:p>
            <w:pPr>
              <w:spacing w:after="0" w:before="0" w:lineRule="auto" w:line="276"/>
              <w:jc w:val="left"/>
            </w:pPr>
            <w:r>
              <w:rPr>
                <w:rFonts w:ascii="Times New Roman" w:hAnsi="Times New Roman" w:cs="Times New Roman" w:eastAsia="Times New Roman"/>
                <w:b w:val="false"/>
                <w:sz w:val="26"/>
              </w:rPr>
              <w:t>Thông tư 04/2018/TT-BVHTTDL</w:t>
            </w:r>
          </w:p>
        </w:tc>
        <w:tc>
          <w:p/>
          <w:p>
            <w:pPr>
              <w:spacing w:after="0" w:before="0" w:lineRule="auto" w:line="276"/>
              <w:jc w:val="left"/>
            </w:pPr>
            <w:r>
              <w:rPr>
                <w:rFonts w:ascii="Times New Roman" w:hAnsi="Times New Roman" w:cs="Times New Roman" w:eastAsia="Times New Roman"/>
                <w:b w:val="false"/>
                <w:sz w:val="26"/>
              </w:rPr>
              <w:t>22-01-2018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a) Khu vực đặt bàn phải có mái che, khoảng cách tính từ mép ngoài bàn tới tường ít nhất là 1,5m, khoảng cách các bàn với nhau ít nhất là 1,2m.
b) Cơ sở tổ chức tập luyện và thi đấu Billiards &amp; Snooker phải có ít nhất một trong những loại bàn sau:
- Bàn snooker: Chiều dài lòng bàn 3,569m (độ dao động từ 3,556m đến 3,582m), chiều rộng lòng bàn 1,778m (độ dao động từ 1,765m đến 1,791m). Chiều cao tính từ mặt sàn tới mặt thành băng của bàn từ 85mm đến 88 mm;
- Bàn pool: Chiều dài lòng bàn 2,54m (độ dao động từ 2,537m đến 2,543m), chiều rộng lòng bàn 1,27 m (độ dao động từ 1,267m đến 1,273m). Chiều cao tính từ mặt sàn tới mặt thành băng của bàn từ 74mm đến 79mm;
- Bàn carom: Gồm bàn lớn và bàn nhỏ. Chiều dài lòng bàn lớn 2,84m (độ dao động từ 2,835m đến 2,845m), chiều rộng lòng bàn lớn 1,42m (độ dao động từ 1,415m đến 1,425m). Chiều dài lòng bàn nhỏ 2,54m (độ dao động từ 2,535m đến 2,545m), chiều rộng lòng bàn nhỏ 1,27m (độ dao động từ 1,265m đến 1,275m). Chiều cao tính từ mặt sàn tới mặt thành băng của bàn từ 75mm đến 80mm.
c) Mặt bàn phải đảm bảo độ phẳng và được trải bằng vải, nỉ phù hợp với từng loại bàn.
d) Có bi sử dụng phù hợp với từng loại bàn.
đ) Có cơ, cầu nối, lơ, giá để cơ, bảng ghi điểm. 
e) Ánh sáng tại các điểm trên mặt bàn và thành băng ít nhất là 300 lux.
g) Trường hợp đèn được thiết kế cho mỗi bàn thì khoảng cách từ điểm thấp nhất của đèn đến mặt bàn ít nhất là 1m.
h) Có túi sơ cứu theo quy định của Bộ Y tế; có khu vực thay đồ, nơi cất giữ đồ, nhà vệ sinh.
i) Có bảng nội quy quy định những nội dung chủ yếu sau: Giờ tập luyện, đối tượng tham gia tập luyện, các đối tượng không được tham gia tập luyện, biện pháp đảm bảo an toàn trong tập luyện.
(2)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2025-11-27T16:28:02Z</dcterms:created>
  <dc:creator>Apache POI</dc:creator>
</cp:coreProperties>
</file>