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1.000869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vốn\Chi phí tổ chức thực hiện bồi thường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 Quyết định giao nhiệm vụ cho đơn vị tổ chức thực hiện của cấp có thẩm quyền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kinh phí được duyệt của cấp có thẩm quyền (theo quy định tại khoản 1, điều 6 Thông tư số 57/TT-BTC ngày 16/04/2010)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của UBND cấp tỉnh về tỷ lệ phân chia mức kinh phí tổ chức thực hiện bồi thường, hỗ trợ và tái định cư (Trường hợp tại địa phương có thành lập Hội đồng thẩm định phương án bồi thường, hỗ trợ và tái định cư hoặc Ban chỉ đạo công tác GPMB bằng cấp tỉnh)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thanh toán vốn: Kế hoạch vốn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thanh toán của đơn vị được giao tổ chức thực hiện – bản chính</w:t>
            </w:r>
          </w:p>
        </w:tc>
        <w:tc>
          <w:p/>
          <w:p>
            <w:pPr>
              <w:spacing w:after="0" w:before="0" w:lineRule="auto" w:line="276"/>
              <w:jc w:val="left"/>
            </w:pPr>
            <w:r>
              <w:rPr>
                <w:rFonts w:ascii="Times New Roman" w:hAnsi="Times New Roman" w:cs="Times New Roman" w:eastAsia="Times New Roman"/>
                <w:b w:val="false"/>
                <w:sz w:val="26"/>
              </w:rPr>
              <w:t>!MÉu sè 02B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thanh toán vốn do Ban QLDA lập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Trường hợp phải triển khai thực hiện ngay các công việc về bồi thường, hỗ trợ và tái định cư mà dự toán kinh phí tổ chức thực hiện bồi thường, hỗ trợ và tái định cư dự án chưa được phê duyệt, Tổ chức được giao thực hiện bồi thường, hỗ trợ và tái định cư được phép tạm ứng kinh phí từ chủ đầu tư dự án để chi cho các công việc phải thực hiện.</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vốn\Chi phí tổ chức thực hiện bồi thường,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2025-11-27T16:28:08Z</dcterms:created>
  <dc:creator>Apache POI</dc:creator>
</cp:coreProperties>
</file>