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1.000875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2134/QĐ-NHNN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Phương án góp vốn điều lệ, vốn cổ phần của khách hàng vay là doanh nghiệp của Công ty Quản lý tài sản của các tổ chức tín dụng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Công ty Quản lý tài sản lập hồ sơ đề nghị chấp thuận Phương án góp vốn điều lệ, vốn cổ phần của khách hàng vay là doanh nghiệp gửi trực tiếp hoặc qua đường bưu điện đến Ngân hàng Nhà nước (qua Cục Quản lý, giám sát tổ chức tín dụng).</w:t>
      </w:r>
    </w:p>
    <w:p>
      <w:pPr>
        <w:spacing w:after="0" w:before="0" w:lineRule="auto" w:line="276"/>
        <w:jc w:val="both"/>
      </w:pPr>
      <w:r>
        <w:rPr>
          <w:rFonts w:ascii="Times New Roman" w:hAnsi="Times New Roman" w:cs="Times New Roman" w:eastAsia="Times New Roman"/>
          <w:b w:val="false"/>
          <w:sz w:val="26"/>
        </w:rPr>
        <w:t>- Bước 2: Trong thời hạn 15 ngày làm việc kể từ ngày nhận được hồ sơ đề nghị chấp thuận Phương án góp vốn điều lệ, vốn cổ phần của khách hàng vay là doanh nghiệp, Ngân hàng Nhà nước xem xét, có văn bản gửi Công ty Quản lý tài sản về việc chấp thuận hoặc không chấp thuận Phương án góp vốn điều lệ, vốn cổ phần của khách hàng vay là doanh nghiệp của Công ty Quản lý tài sản. Trong trường hợp không chấp thuận, văn bản gửi Công ty Quản lý tài sản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chấp thuận Phương án góp vốn điều lệ, vốn cổ phần của khách hàng vay là doanh nghiệp do người đại diện hợp pháp của Công ty Quản lý tài sản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Nghị quyết của Hội đồng thành viên của Công ty Quản lý tài sản thông qua Phương án góp vốn điều lệ, vốn cổ phần của khách hàng vay kèm theo Phương án góp vốn điều lệ, vốn cổ phần của khách hàng vay theo quy định tại khoản 3 Điều 36 Thông tư số 19/2013/TT-NHNN ngày 06/9/2013 của Thống đốc Ngân hàng Nhà nước quy định về việc mua, bán và xử lý nợ xấu của Công ty Quản lý tài sản.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Phương án góp vốn điều lệ, vốn cổ phần của khách hàng vay là doanh nghiệp của Công ty Quản lý tài sản của các tổ chức tín dụng Việt Nam, Văn bản không chấp thuận Phương án góp vốn điều lệ, vốn cổ phần của khách hàng vay là doanh nghiệp của Công ty Quản lý tài sản của các tổ chức tín dụng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53/2013/NĐ-CP</w:t>
            </w:r>
          </w:p>
        </w:tc>
        <w:tc>
          <w:p/>
          <w:p>
            <w:pPr>
              <w:spacing w:after="0" w:before="0" w:lineRule="auto" w:line="276"/>
              <w:jc w:val="left"/>
            </w:pPr>
            <w:r>
              <w:rPr>
                <w:rFonts w:ascii="Times New Roman" w:hAnsi="Times New Roman" w:cs="Times New Roman" w:eastAsia="Times New Roman"/>
                <w:b w:val="false"/>
                <w:sz w:val="26"/>
              </w:rPr>
              <w:t>Nghị định 53/2013/NĐ-CP</w:t>
            </w:r>
          </w:p>
        </w:tc>
        <w:tc>
          <w:p/>
          <w:p>
            <w:pPr>
              <w:spacing w:after="0" w:before="0" w:lineRule="auto" w:line="276"/>
              <w:jc w:val="left"/>
            </w:pPr>
            <w:r>
              <w:rPr>
                <w:rFonts w:ascii="Times New Roman" w:hAnsi="Times New Roman" w:cs="Times New Roman" w:eastAsia="Times New Roman"/>
                <w:b w:val="false"/>
                <w:sz w:val="26"/>
              </w:rPr>
              <w:t>18-05-2013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19/2013/TT-NHNN</w:t>
            </w:r>
          </w:p>
        </w:tc>
        <w:tc>
          <w:p/>
          <w:p>
            <w:pPr>
              <w:spacing w:after="0" w:before="0" w:lineRule="auto" w:line="276"/>
              <w:jc w:val="left"/>
            </w:pPr>
            <w:r>
              <w:rPr>
                <w:rFonts w:ascii="Times New Roman" w:hAnsi="Times New Roman" w:cs="Times New Roman" w:eastAsia="Times New Roman"/>
                <w:b w:val="false"/>
                <w:sz w:val="26"/>
              </w:rPr>
              <w:t>Thông tư 19/2013/TT-NHNN</w:t>
            </w:r>
          </w:p>
        </w:tc>
        <w:tc>
          <w:p/>
          <w:p>
            <w:pPr>
              <w:spacing w:after="0" w:before="0" w:lineRule="auto" w:line="276"/>
              <w:jc w:val="left"/>
            </w:pPr>
            <w:r>
              <w:rPr>
                <w:rFonts w:ascii="Times New Roman" w:hAnsi="Times New Roman" w:cs="Times New Roman" w:eastAsia="Times New Roman"/>
                <w:b w:val="false"/>
                <w:sz w:val="26"/>
              </w:rPr>
              <w:t>06-09-2013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Phương án góp vốn điều lệ, vốn cổ phần của khách hàng vay có tính khả thi.
+ Công ty Quản lý tài sản có quyền tham gia vào quá trình tái cơ cấu khách hàng vay.
+ Việc góp vốn điều lệ, vốn cổ phần không vi phạm giới hạn góp vốn điều lệ, vốn cổ phần của Công ty Quản lý tài sản.
+ Khách hàng vay có triển vọng phục hồi về tài chính và hoạt động sau khi được Công ty Quản lý tài sản tham gia góp vốn điều lệ, vốn cổ phần.
+ Khách hàng vay không nằm trong quá trình phá sản, giải thể hoặc thu hồi giấy phép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2025-11-27T16:28:07Z</dcterms:created>
  <dc:creator>Apache POI</dc:creator>
</cp:coreProperties>
</file>