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3596/QĐ-NHCS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chuyển giao quyền sở hữu tiền gửi tiết kiệm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Tại NHCSXH, Người gửi tiền và người được chuyển giao quyền sở hữu tiền gửi tiết kiệm xuất trình hồ sơ theo quy định.
- NHCSXH kiểm tra đối chiếu hồ sơ đảm bảo đúng, đủ theo quy định.
- NHCSXH thực hiện chuyển giao quyền sở hữu tiền gửi tiết kiệm.
- NHCSXH giao Thẻ tiết kiệm cho người được chuyển giao quyền sở hữu tiền gửi tiết kiệm.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sau khi NHCSXH nơi thực hiện thủ tục nhận được hồ sơ của khách hàng.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Trực tiếp tại trụ sở của NHCSXH nơi mở               Thẻ tiết kiệm.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Thẻ tiết kiệm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của người gửi tiền và người được chuyển giao quyền sở hữu tiền gửi tiết kiệm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chuyển giao quyền sở hữu tiền gửi tiết kiệm (03 bản chính).</w:t>
            </w:r>
          </w:p>
        </w:tc>
        <w:tc>
          <w:p/>
          <w:p>
            <w:pPr>
              <w:spacing w:after="0" w:before="0" w:lineRule="auto" w:line="276"/>
              <w:jc w:val="left"/>
            </w:pPr>
            <w:r>
              <w:rPr>
                <w:rFonts w:ascii="Times New Roman" w:hAnsi="Times New Roman" w:cs="Times New Roman" w:eastAsia="Times New Roman"/>
                <w:b w:val="false"/>
                <w:sz w:val="26"/>
              </w:rPr>
              <w:t>02-NHCS-TGTK (Chuyển giao SH tiền gửi).docx</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trường hợp chuyển giao quyền sở hữu tiền gửi tiết kiệm của người gửi tiền tiết kiệm thông qua người giám hộ, hồ sơ phải có thêm: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Cam kết của người giám hộ chứng minh được việc chuyển giao quyền sở hữu tiền gửi tiết kiệm vì lợi ích của người được giám hộ và có sự đồng ý của người giám sát việc giám hộ bằng văn bản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tư cách đại diện của người giám hộ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của người giám hộ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chuyển giao quyền sở hữu tiền gửi có kỳ hạn (mẫu số 02/NHCS-TGCKH).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78/2002/NĐ-CP</w:t>
            </w:r>
          </w:p>
        </w:tc>
        <w:tc>
          <w:p/>
          <w:p>
            <w:pPr>
              <w:spacing w:after="0" w:before="0" w:lineRule="auto" w:line="276"/>
              <w:jc w:val="left"/>
            </w:pPr>
            <w:r>
              <w:rPr>
                <w:rFonts w:ascii="Times New Roman" w:hAnsi="Times New Roman" w:cs="Times New Roman" w:eastAsia="Times New Roman"/>
                <w:b w:val="false"/>
                <w:sz w:val="26"/>
              </w:rPr>
              <w:t>Về tín dụng đối với người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04-10-2002</w:t>
            </w:r>
          </w:p>
        </w:tc>
        <w:tc>
          <w:p/>
        </w:tc>
      </w:tr>
      <w:tr>
        <w:tc>
          <w:p/>
          <w:p>
            <w:pPr>
              <w:spacing w:after="0" w:before="0" w:lineRule="auto" w:line="276"/>
              <w:jc w:val="left"/>
            </w:pPr>
            <w:r>
              <w:rPr>
                <w:rFonts w:ascii="Times New Roman" w:hAnsi="Times New Roman" w:cs="Times New Roman" w:eastAsia="Times New Roman"/>
                <w:b w:val="false"/>
                <w:sz w:val="26"/>
              </w:rPr>
              <w:t>131/2002/QĐ-TTg</w:t>
            </w:r>
          </w:p>
        </w:tc>
        <w:tc>
          <w:p/>
          <w:p>
            <w:pPr>
              <w:spacing w:after="0" w:before="0" w:lineRule="auto" w:line="276"/>
              <w:jc w:val="left"/>
            </w:pPr>
            <w:r>
              <w:rPr>
                <w:rFonts w:ascii="Times New Roman" w:hAnsi="Times New Roman" w:cs="Times New Roman" w:eastAsia="Times New Roman"/>
                <w:b w:val="false"/>
                <w:sz w:val="26"/>
              </w:rPr>
              <w:t>Về việc thành lập Ngân hàng Chính sách xã hội</w:t>
            </w:r>
          </w:p>
        </w:tc>
        <w:tc>
          <w:p/>
          <w:p>
            <w:pPr>
              <w:spacing w:after="0" w:before="0" w:lineRule="auto" w:line="276"/>
              <w:jc w:val="left"/>
            </w:pPr>
            <w:r>
              <w:rPr>
                <w:rFonts w:ascii="Times New Roman" w:hAnsi="Times New Roman" w:cs="Times New Roman" w:eastAsia="Times New Roman"/>
                <w:b w:val="false"/>
                <w:sz w:val="26"/>
              </w:rPr>
              <w:t>04-10-2002</w:t>
            </w:r>
          </w:p>
        </w:tc>
        <w:tc>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Về việc phê duyệt Điều lệ về tổ chức và hoạt động của Ngân hàng Chính sách xã hội</w:t>
            </w:r>
          </w:p>
        </w:tc>
        <w:tc>
          <w:p/>
          <w:p>
            <w:pPr>
              <w:spacing w:after="0" w:before="0" w:lineRule="auto" w:line="276"/>
              <w:jc w:val="left"/>
            </w:pPr>
            <w:r>
              <w:rPr>
                <w:rFonts w:ascii="Times New Roman" w:hAnsi="Times New Roman" w:cs="Times New Roman" w:eastAsia="Times New Roman"/>
                <w:b w:val="false"/>
                <w:sz w:val="26"/>
              </w:rPr>
              <w:t>22-01-2003</w:t>
            </w:r>
          </w:p>
        </w:tc>
        <w:tc>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Các tổ chức tín dụng</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Dân sự</w:t>
            </w:r>
          </w:p>
        </w:tc>
        <w:tc>
          <w:p/>
          <w:p>
            <w:pPr>
              <w:spacing w:after="0" w:before="0" w:lineRule="auto" w:line="276"/>
              <w:jc w:val="left"/>
            </w:pPr>
            <w:r>
              <w:rPr>
                <w:rFonts w:ascii="Times New Roman" w:hAnsi="Times New Roman" w:cs="Times New Roman" w:eastAsia="Times New Roman"/>
                <w:b w:val="false"/>
                <w:sz w:val="26"/>
              </w:rPr>
              <w:t>24-11-2015</w:t>
            </w:r>
          </w:p>
        </w:tc>
        <w:tc>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các tổ chức tín dụng</w:t>
            </w:r>
          </w:p>
        </w:tc>
        <w:tc>
          <w:p/>
          <w:p>
            <w:pPr>
              <w:spacing w:after="0" w:before="0" w:lineRule="auto" w:line="276"/>
              <w:jc w:val="left"/>
            </w:pPr>
            <w:r>
              <w:rPr>
                <w:rFonts w:ascii="Times New Roman" w:hAnsi="Times New Roman" w:cs="Times New Roman" w:eastAsia="Times New Roman"/>
                <w:b w:val="false"/>
                <w:sz w:val="26"/>
              </w:rPr>
              <w:t>20-11-2017</w:t>
            </w:r>
          </w:p>
        </w:tc>
        <w:tc>
          <w:p/>
        </w:tc>
      </w:tr>
      <w:tr>
        <w:tc>
          <w:p/>
          <w:p>
            <w:pPr>
              <w:spacing w:after="0" w:before="0" w:lineRule="auto" w:line="276"/>
              <w:jc w:val="left"/>
            </w:pPr>
            <w:r>
              <w:rPr>
                <w:rFonts w:ascii="Times New Roman" w:hAnsi="Times New Roman" w:cs="Times New Roman" w:eastAsia="Times New Roman"/>
                <w:b w:val="false"/>
                <w:sz w:val="26"/>
              </w:rPr>
              <w:t>48 /2018/TT-NHNN</w:t>
            </w:r>
          </w:p>
        </w:tc>
        <w:tc>
          <w:p/>
          <w:p>
            <w:pPr>
              <w:spacing w:after="0" w:before="0" w:lineRule="auto" w:line="276"/>
              <w:jc w:val="left"/>
            </w:pPr>
            <w:r>
              <w:rPr>
                <w:rFonts w:ascii="Times New Roman" w:hAnsi="Times New Roman" w:cs="Times New Roman" w:eastAsia="Times New Roman"/>
                <w:b w:val="false"/>
                <w:sz w:val="26"/>
              </w:rPr>
              <w:t>Quy định về tiền gửi tiết kiệm</w:t>
            </w:r>
          </w:p>
        </w:tc>
        <w:tc>
          <w:p/>
          <w:p>
            <w:pPr>
              <w:spacing w:after="0" w:before="0" w:lineRule="auto" w:line="276"/>
              <w:jc w:val="left"/>
            </w:pPr>
            <w:r>
              <w:rPr>
                <w:rFonts w:ascii="Times New Roman" w:hAnsi="Times New Roman" w:cs="Times New Roman" w:eastAsia="Times New Roman"/>
                <w:b w:val="false"/>
                <w:sz w:val="26"/>
              </w:rPr>
              <w:t>31-12-2018</w:t>
            </w:r>
          </w:p>
        </w:tc>
        <w:tc>
          <w:p/>
        </w:tc>
      </w:tr>
      <w:tr>
        <w:tc>
          <w:p/>
          <w:p>
            <w:pPr>
              <w:spacing w:after="0" w:before="0" w:lineRule="auto" w:line="276"/>
              <w:jc w:val="left"/>
            </w:pPr>
            <w:r>
              <w:rPr>
                <w:rFonts w:ascii="Times New Roman" w:hAnsi="Times New Roman" w:cs="Times New Roman" w:eastAsia="Times New Roman"/>
                <w:b w:val="false"/>
                <w:sz w:val="26"/>
              </w:rPr>
              <w:t>3579/NHCS-KHNV</w:t>
            </w:r>
          </w:p>
        </w:tc>
        <w:tc>
          <w:p/>
          <w:p>
            <w:pPr>
              <w:spacing w:after="0" w:before="0" w:lineRule="auto" w:line="276"/>
              <w:jc w:val="left"/>
            </w:pPr>
            <w:r>
              <w:rPr>
                <w:rFonts w:ascii="Times New Roman" w:hAnsi="Times New Roman" w:cs="Times New Roman" w:eastAsia="Times New Roman"/>
                <w:b w:val="false"/>
                <w:sz w:val="26"/>
              </w:rPr>
              <w:t>hướng dẫn tiền gửi tiết kiệm tại Ngân hàng Chính sách xã hộivăn số 3579/NHCS-KHNV</w:t>
            </w:r>
          </w:p>
        </w:tc>
        <w:tc>
          <w:p/>
          <w:p>
            <w:pPr>
              <w:spacing w:after="0" w:before="0" w:lineRule="auto" w:line="276"/>
              <w:jc w:val="left"/>
            </w:pPr>
            <w:r>
              <w:rPr>
                <w:rFonts w:ascii="Times New Roman" w:hAnsi="Times New Roman" w:cs="Times New Roman" w:eastAsia="Times New Roman"/>
                <w:b w:val="false"/>
                <w:sz w:val="26"/>
              </w:rPr>
              <w:t>10-06-2019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chuyển giao quyền sở hữu tiền gửi tiết kiệm phải thuộc đối tượng gửi tiền tiết kiệm theo quy định của NHCSXH.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2025-11-27T16:28:22Z</dcterms:created>
  <dc:creator>Apache POI</dc:creator>
</cp:coreProperties>
</file>