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1.000911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sửa đổi, bổ sung Giấy phép chế biến nguyên liệu thuốc lá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nghiệp tiêu dùng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Trường hợp có thay đổi các nội dung của giấy phép chế biến nguyên liệu thuốc lá, tổ chức, cá nhân phải lập 01 bộ hồ sơ gửi về cơ quan cấp phép.
- Trình tự, thủ tục cấp bổ sung, sửa đổi giấy phép:
+ Tổ chức, cá nhân kinh doanh thuốc lá nộp 01 bộ hồ sơ xin đề nghị sửa đổi, bổ sung giấy phép chế biến nguyên liệu thuốc lá cho cơ quan nhà nước có thẩm quyền;
+ Trong thời hạn 15 ngày làm việc kể từ ngày nhận đủ hồ sơ hợp lệ, cơ quan có thẩm quyền xem xét và cấp sửa đổi, bổ sung giấy phép chế biến nguyên liệu thuốc lá. Trường hợp tổ chức, cá nhân không đáp ứng được điều kiện theo quy định cơ quan có thẩm quyền cấp phép sẽ có văn bản trả lời từ chối cấp phép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có thay đổi các nội dung của Giấy phép chế biến nguyên liệu thuốc lá, Doanh nghiệp nộp 01 bộ hồ sơ đề nghị cấp, 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sửa đổi, bổ sung;</w:t>
            </w:r>
          </w:p>
        </w:tc>
        <w:tc>
          <w:p/>
          <w:p>
            <w:pPr>
              <w:spacing w:after="0" w:before="0" w:lineRule="auto" w:line="276"/>
              <w:jc w:val="left"/>
            </w:pPr>
            <w:r>
              <w:rPr>
                <w:rFonts w:ascii="Times New Roman" w:hAnsi="Times New Roman" w:cs="Times New Roman" w:eastAsia="Times New Roman"/>
                <w:b w:val="false"/>
                <w:sz w:val="26"/>
              </w:rPr>
              <w:t>Phụ lục 30.docx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phép chế biến nguyên liệu thuốc lá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Các tài liệu chứng minh nhu cầu sửa đổi, bổ sung.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Cấp sửa đổi, bổ sung Giấy phép chế biến nguyên liệu thuốc lá</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Phòng, chống tác hại của thuốc lá về kinh doanh thuốc lá</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Sửa đổi một số Nghị định liên quan đến điều kiện đầu tư kinh doanh thuộc phạm vi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106/2017/NĐ-CP</w:t>
            </w:r>
          </w:p>
        </w:tc>
        <w:tc>
          <w:p/>
          <w:p>
            <w:pPr>
              <w:spacing w:after="0" w:before="0" w:lineRule="auto" w:line="276"/>
              <w:jc w:val="left"/>
            </w:pPr>
            <w:r>
              <w:rPr>
                <w:rFonts w:ascii="Times New Roman" w:hAnsi="Times New Roman" w:cs="Times New Roman" w:eastAsia="Times New Roman"/>
                <w:b w:val="false"/>
                <w:sz w:val="26"/>
              </w:rPr>
              <w:t>sửa đổi, bổ sung một số điều của Nghị định số 67/2013/NĐ-CP ngày 27 tháng 6 năm 2013 của Chính phủ quy định chi tiết một số điều và biện pháp thi hành Luật Phòng, chống tác hại của thuốc lá về kinh doanh thuốc lá</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57/2018/TT-BCT</w:t>
            </w:r>
          </w:p>
        </w:tc>
        <w:tc>
          <w:p/>
          <w:p>
            <w:pPr>
              <w:spacing w:after="0" w:before="0" w:lineRule="auto" w:line="276"/>
              <w:jc w:val="left"/>
            </w:pPr>
            <w:r>
              <w:rPr>
                <w:rFonts w:ascii="Times New Roman" w:hAnsi="Times New Roman" w:cs="Times New Roman" w:eastAsia="Times New Roman"/>
                <w:b w:val="false"/>
                <w:sz w:val="26"/>
              </w:rPr>
              <w:t>Thông tư 57/2018/TT-BCT</w:t>
            </w:r>
          </w:p>
        </w:tc>
        <w:tc>
          <w:p/>
          <w:p>
            <w:pPr>
              <w:spacing w:after="0" w:before="0" w:lineRule="auto" w:line="276"/>
              <w:jc w:val="left"/>
            </w:pPr>
            <w:r>
              <w:rPr>
                <w:rFonts w:ascii="Times New Roman" w:hAnsi="Times New Roman" w:cs="Times New Roman" w:eastAsia="Times New Roman"/>
                <w:b w:val="false"/>
                <w:sz w:val="26"/>
              </w:rPr>
              <w:t>28-12-2018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28/2019/TT-BCT</w:t>
            </w:r>
          </w:p>
        </w:tc>
        <w:tc>
          <w:p/>
          <w:p>
            <w:pPr>
              <w:spacing w:after="0" w:before="0" w:lineRule="auto" w:line="276"/>
              <w:jc w:val="left"/>
            </w:pPr>
            <w:r>
              <w:rPr>
                <w:rFonts w:ascii="Times New Roman" w:hAnsi="Times New Roman" w:cs="Times New Roman" w:eastAsia="Times New Roman"/>
                <w:b w:val="false"/>
                <w:sz w:val="26"/>
              </w:rPr>
              <w:t>Thông tư 28/2019/TT-BCT</w:t>
            </w:r>
          </w:p>
        </w:tc>
        <w:tc>
          <w:p/>
          <w:p>
            <w:pPr>
              <w:spacing w:after="0" w:before="0" w:lineRule="auto" w:line="276"/>
              <w:jc w:val="left"/>
            </w:pPr>
            <w:r>
              <w:rPr>
                <w:rFonts w:ascii="Times New Roman" w:hAnsi="Times New Roman" w:cs="Times New Roman" w:eastAsia="Times New Roman"/>
                <w:b w:val="false"/>
                <w:sz w:val="26"/>
              </w:rPr>
              <w:t>15-11-2019</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Yêu cầu, điều kiện thực hiện thủ tục hành chính (nếu có): 
- Là doanh nghiệp được thành lập theo quy định của pháp luật
- Có dây chuyền máy móc thiết bị chuyên ngành đồng bộ tách cọng thuốc lá hoặc chế biến ra thuốc lá sợi, thuốc lá tấm và các nguyên liệu thay thế khác dùng để sản xuất ra các sản phẩm thuốc lá. Dây chuyền chế biến nguyên liệu phải được chuyên môn hóa, đáp ứng các tiêu chuẩn vệ sinh công nghiệp, an toàn lao động và vệ sinh môi trường;
- Toàn bộ máy móc thiết bị phải có nguồn gốc hợp pháp;
- Địa điểm đặt cơ sở chế biến phải phù hợp Chiến lược sản xuất sản phẩm thuốc lá và vùng nguyên liệu thuốc lá được cấp có thẩm quyền phê duyệt.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https://thutuc.dichvucong.gov.vn/p/home/dvc-tthc-thu-tuc-hanh-chinh-chi-tiet.html?ma_thu_tuc=1349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2025-11-27T16:28:55Z</dcterms:created>
  <dc:creator>Apache POI</dc:creator>
</cp:coreProperties>
</file>