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5130A/QĐ-NHCS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điều chỉnh kỳ hạn nợ đối với người vay vốn trực tiếp không thông qua Tổ tiết kiệm và vay vốn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hách hàng</w:t>
      </w:r>
    </w:p>
    <w:p>
      <w:pPr>
        <w:spacing w:after="0" w:before="0" w:lineRule="auto" w:line="276"/>
        <w:jc w:val="both"/>
      </w:pPr>
      <w:r>
        <w:rPr>
          <w:rFonts w:ascii="Times New Roman" w:hAnsi="Times New Roman" w:cs="Times New Roman" w:eastAsia="Times New Roman"/>
          <w:b w:val="false"/>
          <w:sz w:val="26"/>
        </w:rPr>
        <w:t>- Khi có nhu cầu điều chỉnh kỳ hạn nợ, trước kỳ hạn trả nợ đã cam kết 05 ngày, khách hàng viết Giấy đề nghị điều chỉnh kỳ hạn nợ và nộp Giấy đề nghị điều chỉnh kỳ hạn nợ, Hợp đồng tín dụng khách hàng lưu giữ cho NHCSXH nơi thực hiện thủ tục.</w:t>
      </w:r>
    </w:p>
    <w:p>
      <w:pPr>
        <w:shd w:val="clear" w:color="auto" w:fill="F2F6F9"/>
        <w:spacing w:after="0" w:before="120" w:lineRule="auto" w:line="276"/>
        <w:jc w:val="both"/>
      </w:pPr>
      <w:r>
        <w:rPr>
          <w:rFonts w:ascii="Times New Roman" w:hAnsi="Times New Roman" w:cs="Times New Roman" w:eastAsia="Times New Roman"/>
          <w:b w:val="true"/>
          <w:sz w:val="26"/>
        </w:rPr>
        <w:t>NHCSXH nơi thực hiện thủ tục</w:t>
      </w:r>
    </w:p>
    <w:p>
      <w:pPr>
        <w:spacing w:after="0" w:before="0" w:lineRule="auto" w:line="276"/>
        <w:jc w:val="both"/>
      </w:pPr>
      <w:r>
        <w:rPr>
          <w:rFonts w:ascii="Times New Roman" w:hAnsi="Times New Roman" w:cs="Times New Roman" w:eastAsia="Times New Roman"/>
          <w:b w:val="false"/>
          <w:sz w:val="26"/>
        </w:rPr>
        <w:t>- Kiểm tra tính hợp lệ, hợp pháp của Giấy đề nghị điều chỉnh kỳ hạn nợ; xem xét, phê duyệt điều chỉnh kỳ hạn nợ;
- Trường hợp cho điều chỉnh kỳ hạn nợ: NHCSXH nơi thực hiện thủ tục xác nhận bổ sung vào Hợp đồng tín dụng (mục 2 Phần theo dõi điều chỉnh kỳ hạn trả nợ, gia hạn nợ).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Khách hàng nộp Giấy đề nghị điều chỉnh kỳ hạn nợ và Hợp đồng tín dụng khách hàng lưu giữ trực tiếp cho NHCSXH nơi thực hiện thủ tục.
Trong thời hạn không quá 03 (ba) ngày làm việc kể từ ngày NHCSXH nơi thực hiện thủ tục nhận được hồ sơ đề nghị điều chỉnh kỳ hạn nợ từ khách hàng.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Hợp đồng tín dụng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Hợp đồng tín dụng khách hàng lưu giữ</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hộ gia đình, cá nhân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Đối với hộ gia đình, cá nhân vay vốn từ trên 50 triệu đồng đến 100 triệu đồng để sản xuất kinh doanh tại vùng khó khăn, hoặc hộ gia đình vay vốn trực tiếp dự án phát triển ngành Lâm nghiệp: Giấy đề nghị điều chỉnh kỳ hạn nợ (mẫu số 08/TD): 01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08-TD- (Điều chỉnh gia hạn nợ.doc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người vay vốn dự án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Đối với người vay vốn dự án “Chương trình phát triển doanh nghiệp nhỏ và vừa vay vốn KFW”: Giấy đề nghị điều chỉnh kỳ hạn nợ (mẫu số 10/TDDN): 01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10-TDDN (Giấy đề nghị điều chỉnh kỳ hạn trả nợ-VB-5088-2.12.2016).doc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tổ chức kinh tế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Đối với tổ chức kinh tế vay vốn thương nhân hoạt động thương mại tại vùng khó khăn, hoặc cơ sở sản xuất, kinh doanh vay vốn chương trình cho vay hỗ trợ tạo việc làm, duy trì và mở rộng việc làm, hoặc doanh nghiệp nhỏ và vừa  vay vốn dự án NIPPON: Giấy đề nghị điều chỉnh kỳ hạn nợ (mẫu số 08/DNV&amp;N): 01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08-DNV-N (Giấy đề nghị điều chỉnh kỳ hạn trả nợ).doc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điều chỉnh kỳ hạn nợ của NHCSXH nơi thực hiện thủ tục trên Hợp đồng tín dụng khách hàng lưu giữ.</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78/2002/NĐ-CP</w:t>
            </w:r>
          </w:p>
        </w:tc>
        <w:tc>
          <w:p/>
          <w:p>
            <w:pPr>
              <w:spacing w:after="0" w:before="0" w:lineRule="auto" w:line="276"/>
              <w:jc w:val="left"/>
            </w:pPr>
            <w:r>
              <w:rPr>
                <w:rFonts w:ascii="Times New Roman" w:hAnsi="Times New Roman" w:cs="Times New Roman" w:eastAsia="Times New Roman"/>
                <w:b w:val="false"/>
                <w:sz w:val="26"/>
              </w:rPr>
              <w:t>Về tín dụng đối với người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677/NHCS-TD</w:t>
            </w:r>
          </w:p>
        </w:tc>
        <w:tc>
          <w:p/>
          <w:p>
            <w:pPr>
              <w:spacing w:after="0" w:before="0" w:lineRule="auto" w:line="276"/>
              <w:jc w:val="left"/>
            </w:pPr>
            <w:r>
              <w:rPr>
                <w:rFonts w:ascii="Times New Roman" w:hAnsi="Times New Roman" w:cs="Times New Roman" w:eastAsia="Times New Roman"/>
                <w:b w:val="false"/>
                <w:sz w:val="26"/>
              </w:rPr>
              <w:t>Văn bản số 677/NHCS-TD</w:t>
            </w:r>
          </w:p>
        </w:tc>
        <w:tc>
          <w:p/>
          <w:p>
            <w:pPr>
              <w:spacing w:after="0" w:before="0" w:lineRule="auto" w:line="276"/>
              <w:jc w:val="left"/>
            </w:pPr>
            <w:r>
              <w:rPr>
                <w:rFonts w:ascii="Times New Roman" w:hAnsi="Times New Roman" w:cs="Times New Roman" w:eastAsia="Times New Roman"/>
                <w:b w:val="false"/>
                <w:sz w:val="26"/>
              </w:rPr>
              <w:t>22-04-2007</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2479/NHCS-TDSV</w:t>
            </w:r>
          </w:p>
        </w:tc>
        <w:tc>
          <w:p/>
          <w:p>
            <w:pPr>
              <w:spacing w:after="0" w:before="0" w:lineRule="auto" w:line="276"/>
              <w:jc w:val="left"/>
            </w:pPr>
            <w:r>
              <w:rPr>
                <w:rFonts w:ascii="Times New Roman" w:hAnsi="Times New Roman" w:cs="Times New Roman" w:eastAsia="Times New Roman"/>
                <w:b w:val="false"/>
                <w:sz w:val="26"/>
              </w:rPr>
              <w:t>Văn bản số 2479/NHCS-TDSV</w:t>
            </w:r>
          </w:p>
        </w:tc>
        <w:tc>
          <w:p/>
          <w:p>
            <w:pPr>
              <w:spacing w:after="0" w:before="0" w:lineRule="auto" w:line="276"/>
              <w:jc w:val="left"/>
            </w:pPr>
            <w:r>
              <w:rPr>
                <w:rFonts w:ascii="Times New Roman" w:hAnsi="Times New Roman" w:cs="Times New Roman" w:eastAsia="Times New Roman"/>
                <w:b w:val="false"/>
                <w:sz w:val="26"/>
              </w:rPr>
              <w:t>04-09-2009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247/QĐ-NHCS</w:t>
            </w:r>
          </w:p>
        </w:tc>
        <w:tc>
          <w:p/>
          <w:p>
            <w:pPr>
              <w:spacing w:after="0" w:before="0" w:lineRule="auto" w:line="276"/>
              <w:jc w:val="left"/>
            </w:pPr>
            <w:r>
              <w:rPr>
                <w:rFonts w:ascii="Times New Roman" w:hAnsi="Times New Roman" w:cs="Times New Roman" w:eastAsia="Times New Roman"/>
                <w:b w:val="false"/>
                <w:sz w:val="26"/>
              </w:rPr>
              <w:t>Quyết định số 247/QĐ-NHCS</w:t>
            </w:r>
          </w:p>
        </w:tc>
        <w:tc>
          <w:p/>
          <w:p>
            <w:pPr>
              <w:spacing w:after="0" w:before="0" w:lineRule="auto" w:line="276"/>
              <w:jc w:val="left"/>
            </w:pPr>
            <w:r>
              <w:rPr>
                <w:rFonts w:ascii="Times New Roman" w:hAnsi="Times New Roman" w:cs="Times New Roman" w:eastAsia="Times New Roman"/>
                <w:b w:val="false"/>
                <w:sz w:val="26"/>
              </w:rPr>
              <w:t>25-01-2013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2824/QĐ-NHCSXH</w:t>
            </w:r>
          </w:p>
        </w:tc>
        <w:tc>
          <w:p/>
          <w:p>
            <w:pPr>
              <w:spacing w:after="0" w:before="0" w:lineRule="auto" w:line="276"/>
              <w:jc w:val="left"/>
            </w:pPr>
            <w:r>
              <w:rPr>
                <w:rFonts w:ascii="Times New Roman" w:hAnsi="Times New Roman" w:cs="Times New Roman" w:eastAsia="Times New Roman"/>
                <w:b w:val="false"/>
                <w:sz w:val="26"/>
              </w:rPr>
              <w:t>Văn bản số 2824/QĐ-NHCSXH</w:t>
            </w:r>
          </w:p>
        </w:tc>
        <w:tc>
          <w:p/>
          <w:p>
            <w:pPr>
              <w:spacing w:after="0" w:before="0" w:lineRule="auto" w:line="276"/>
              <w:jc w:val="left"/>
            </w:pPr>
            <w:r>
              <w:rPr>
                <w:rFonts w:ascii="Times New Roman" w:hAnsi="Times New Roman" w:cs="Times New Roman" w:eastAsia="Times New Roman"/>
                <w:b w:val="false"/>
                <w:sz w:val="26"/>
              </w:rPr>
              <w:t>08-08-2014</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2938/QĐ-NHCS</w:t>
            </w:r>
          </w:p>
        </w:tc>
        <w:tc>
          <w:p/>
          <w:p>
            <w:pPr>
              <w:spacing w:after="0" w:before="0" w:lineRule="auto" w:line="276"/>
              <w:jc w:val="left"/>
            </w:pPr>
            <w:r>
              <w:rPr>
                <w:rFonts w:ascii="Times New Roman" w:hAnsi="Times New Roman" w:cs="Times New Roman" w:eastAsia="Times New Roman"/>
                <w:b w:val="false"/>
                <w:sz w:val="26"/>
              </w:rPr>
              <w:t>Văn bản số 2938/QĐ-NHCS</w:t>
            </w:r>
          </w:p>
        </w:tc>
        <w:tc>
          <w:p/>
          <w:p>
            <w:pPr>
              <w:spacing w:after="0" w:before="0" w:lineRule="auto" w:line="276"/>
              <w:jc w:val="left"/>
            </w:pPr>
            <w:r>
              <w:rPr>
                <w:rFonts w:ascii="Times New Roman" w:hAnsi="Times New Roman" w:cs="Times New Roman" w:eastAsia="Times New Roman"/>
                <w:b w:val="false"/>
                <w:sz w:val="26"/>
              </w:rPr>
              <w:t>20-08-2014</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xml:space="preserve"> 3798/NHCS-TDSV</w:t>
            </w:r>
          </w:p>
        </w:tc>
        <w:tc>
          <w:p/>
          <w:p>
            <w:pPr>
              <w:spacing w:after="0" w:before="0" w:lineRule="auto" w:line="276"/>
              <w:jc w:val="left"/>
            </w:pPr>
            <w:r>
              <w:rPr>
                <w:rFonts w:ascii="Times New Roman" w:hAnsi="Times New Roman" w:cs="Times New Roman" w:eastAsia="Times New Roman"/>
                <w:b w:val="false"/>
                <w:sz w:val="26"/>
              </w:rPr>
              <w:t>Công văn số 3798/NHCS-TDSV</w:t>
            </w:r>
          </w:p>
        </w:tc>
        <w:tc>
          <w:p/>
          <w:p>
            <w:pPr>
              <w:spacing w:after="0" w:before="0" w:lineRule="auto" w:line="276"/>
              <w:jc w:val="left"/>
            </w:pPr>
            <w:r>
              <w:rPr>
                <w:rFonts w:ascii="Times New Roman" w:hAnsi="Times New Roman" w:cs="Times New Roman" w:eastAsia="Times New Roman"/>
                <w:b w:val="false"/>
                <w:sz w:val="26"/>
              </w:rPr>
              <w:t>20-11-2015</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5088/NHCS-TDSV</w:t>
            </w:r>
          </w:p>
        </w:tc>
        <w:tc>
          <w:p/>
          <w:p>
            <w:pPr>
              <w:spacing w:after="0" w:before="0" w:lineRule="auto" w:line="276"/>
              <w:jc w:val="left"/>
            </w:pPr>
            <w:r>
              <w:rPr>
                <w:rFonts w:ascii="Times New Roman" w:hAnsi="Times New Roman" w:cs="Times New Roman" w:eastAsia="Times New Roman"/>
                <w:b w:val="false"/>
                <w:sz w:val="26"/>
              </w:rPr>
              <w:t>Công văn số 5088/NHCS-TDSV</w:t>
            </w:r>
          </w:p>
        </w:tc>
        <w:tc>
          <w:p/>
          <w:p>
            <w:pPr>
              <w:spacing w:after="0" w:before="0" w:lineRule="auto" w:line="276"/>
              <w:jc w:val="left"/>
            </w:pPr>
            <w:r>
              <w:rPr>
                <w:rFonts w:ascii="Times New Roman" w:hAnsi="Times New Roman" w:cs="Times New Roman" w:eastAsia="Times New Roman"/>
                <w:b w:val="false"/>
                <w:sz w:val="26"/>
              </w:rPr>
              <w:t>02-12-2016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vay phải sử dụng vốn vay đúng mục đích xin vay theo từng chương trình tín dụng và trả đủ tiền lãi theo quy định;
- Người vay gặp khó khăn chưa trả được nợ gốc đúng kỳ hạn đã cam kết và có nhu cầu điều chỉnh kỳ hạn nợ.</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2025-11-27T16:28:55Z</dcterms:created>
  <dc:creator>Apache POI</dc:creator>
</cp:coreProperties>
</file>