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vốn\Bồi thường thiệt hại về tài sản và bồi thường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Phương án bồi thường, hỗ trợ được cấp có thẩm quyền phê duyệt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bồi thường tài sản được cấp có thẩm quyền phê duyệt - Bản chính hoặc bản sao có đóng dấu sao y bản chính của chủ đầu tư.  Ngoài ra:  Đối với hộ tái định cư tự nguyện: Phải có Đơn tự nguyện di chuyển của hộ tái định cư theo quy định tại khoản 5, điều 10 Quyết định số 02/2007/QĐ-TTg ngày 9/1/2007 của Thủ tướng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giá trị đề nghị tạm ứng - Bản chính.</w:t>
            </w:r>
          </w:p>
        </w:tc>
        <w:tc>
          <w:p/>
          <w:p>
            <w:pPr>
              <w:spacing w:after="0" w:before="0" w:lineRule="auto" w:line="276"/>
              <w:jc w:val="left"/>
            </w:pPr>
            <w:r>
              <w:rPr>
                <w:rFonts w:ascii="Times New Roman" w:hAnsi="Times New Roman" w:cs="Times New Roman" w:eastAsia="Times New Roman"/>
                <w:b w:val="false"/>
                <w:sz w:val="26"/>
              </w:rPr>
              <w:t>MÉu sè 03QL-T§SL.doc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vốn của Ban QLDA - Bản chính.</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Khi thanh toán vốn: Giấy đề nghị thanh toán của Ban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nhận tiền bồi thường tài sản (mẫu số 03B/QL-TĐSL) - Bản chính.</w:t>
            </w:r>
          </w:p>
        </w:tc>
        <w:tc>
          <w:p/>
          <w:p>
            <w:pPr>
              <w:spacing w:after="0" w:before="0" w:lineRule="auto" w:line="276"/>
              <w:jc w:val="left"/>
            </w:pPr>
            <w:r>
              <w:rPr>
                <w:rFonts w:ascii="Times New Roman" w:hAnsi="Times New Roman" w:cs="Times New Roman" w:eastAsia="Times New Roman"/>
                <w:b w:val="false"/>
                <w:sz w:val="26"/>
              </w:rPr>
              <w:t>!MÉu biÓu sè 03BQL-T§SL.doc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vốn\Bồi thường thiệt hại về tài sản và bồi thường khác,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2025-11-27T16:29:14Z</dcterms:created>
  <dc:creator>Apache POI</dc:creator>
</cp:coreProperties>
</file>