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3174/QĐ-BNG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hoạt động báo chí tại Việt Nam cho phóng viên nước ngoài không thường trú</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Báo chí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Nộp Hồ sơ</w:t>
      </w:r>
    </w:p>
    <w:p>
      <w:pPr>
        <w:spacing w:after="0" w:before="0" w:lineRule="auto" w:line="276"/>
        <w:jc w:val="both"/>
      </w:pPr>
      <w:r>
        <w:rPr>
          <w:rFonts w:ascii="Times New Roman" w:hAnsi="Times New Roman" w:cs="Times New Roman" w:eastAsia="Times New Roman"/>
          <w:b w:val="false"/>
          <w:sz w:val="26"/>
        </w:rPr>
        <w:t>Phóng viên nước ngoài có yêu cầu hoạt động báo chí tại Việt Nam gửi hồ sơ tới Bộ Ngoại giao hoặc cơ quan đại diện ngoại giao, cơ quan lãnh sự hoặc các cơ quan khác được ủy quyền thực hiện chức năng lãnh sự của Việt Nam ở nước ngoài (sau đây gọi chung là Cơ quan đại diện Việt Nam)	</w:t>
      </w:r>
    </w:p>
    <w:p>
      <w:pPr>
        <w:shd w:val="clear" w:color="auto" w:fill="F2F6F9"/>
        <w:spacing w:after="0" w:before="120" w:lineRule="auto" w:line="276"/>
        <w:jc w:val="both"/>
      </w:pPr>
      <w:r>
        <w:rPr>
          <w:rFonts w:ascii="Times New Roman" w:hAnsi="Times New Roman" w:cs="Times New Roman" w:eastAsia="Times New Roman"/>
          <w:b w:val="true"/>
          <w:sz w:val="26"/>
        </w:rPr>
        <w:t>Thẩm định Hồ sơ</w:t>
      </w:r>
    </w:p>
    <w:p>
      <w:pPr>
        <w:spacing w:after="0" w:before="0" w:lineRule="auto" w:line="276"/>
        <w:jc w:val="both"/>
      </w:pPr>
      <w:r>
        <w:rPr>
          <w:rFonts w:ascii="Times New Roman" w:hAnsi="Times New Roman" w:cs="Times New Roman" w:eastAsia="Times New Roman"/>
          <w:b w:val="false"/>
          <w:sz w:val="26"/>
        </w:rPr>
        <w:t>Bộ Ngoại giao thẩm định hồ sơ và cấp Giấy phép (trong trường hợp được chấp thuận) hoặc gửi văn bản thông báo (trong trường hợp không chấp thuận đối với đề nghị của phóng viên).	</w:t>
      </w:r>
    </w:p>
    <w:p>
      <w:pPr>
        <w:shd w:val="clear" w:color="auto" w:fill="F2F6F9"/>
        <w:spacing w:after="0" w:before="120" w:lineRule="auto" w:line="276"/>
        <w:jc w:val="both"/>
      </w:pPr>
      <w:r>
        <w:rPr>
          <w:rFonts w:ascii="Times New Roman" w:hAnsi="Times New Roman" w:cs="Times New Roman" w:eastAsia="Times New Roman"/>
          <w:b w:val="true"/>
          <w:sz w:val="26"/>
        </w:rPr>
        <w:t>Nhận Giấy phép</w:t>
      </w:r>
    </w:p>
    <w:p>
      <w:pPr>
        <w:spacing w:after="0" w:before="0" w:lineRule="auto" w:line="276"/>
        <w:jc w:val="both"/>
      </w:pPr>
      <w:r>
        <w:rPr>
          <w:rFonts w:ascii="Times New Roman" w:hAnsi="Times New Roman" w:cs="Times New Roman" w:eastAsia="Times New Roman"/>
          <w:b w:val="false"/>
          <w:sz w:val="26"/>
        </w:rPr>
        <w:t>Sau khi vào Việt Nam, phóng viên nước ngoài đến cơ quan hướng dẫn phóng viên của Bộ Ngoại giao (Trung tâm Hướng dẫn Báo chí nước ngoài) hoặc một cơ quan được Bộ Ngoại giao ủy nhiệm để nhận Giấy phép hoạt động báo chí và hướng dẫn hoạt động.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khi nhận được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khi nhận được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hoạt động thông tin, báo chí tại Việt Nam theo mẫu do Bộ Ngoại giao ban hành.</w:t>
            </w:r>
          </w:p>
        </w:tc>
        <w:tc>
          <w:p/>
          <w:p>
            <w:pPr>
              <w:spacing w:after="0" w:before="0" w:lineRule="auto" w:line="276"/>
              <w:jc w:val="left"/>
            </w:pPr>
            <w:r>
              <w:rPr>
                <w:rFonts w:ascii="Times New Roman" w:hAnsi="Times New Roman" w:cs="Times New Roman" w:eastAsia="Times New Roman"/>
                <w:b w:val="false"/>
                <w:sz w:val="26"/>
              </w:rPr>
              <w:t>Mau so 1 - Don de nghi hoat dong bao chi tai Vietnam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chụp hộ chiếu của phóng viên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Ngoại giao, Vụ Thông tin Báo chí - Bộ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Ngoại giao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Vụ Thông tin Báo chí (Bộ Ngoại giao) hoặc 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hoạt động báo chí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88/2012/NĐ-CP</w:t>
            </w:r>
          </w:p>
        </w:tc>
        <w:tc>
          <w:p/>
          <w:p>
            <w:pPr>
              <w:spacing w:after="0" w:before="0" w:lineRule="auto" w:line="276"/>
              <w:jc w:val="left"/>
            </w:pPr>
            <w:r>
              <w:rPr>
                <w:rFonts w:ascii="Times New Roman" w:hAnsi="Times New Roman" w:cs="Times New Roman" w:eastAsia="Times New Roman"/>
                <w:b w:val="false"/>
                <w:sz w:val="26"/>
              </w:rPr>
              <w:t>Nghị định 88/2012/NĐ-CP</w:t>
            </w:r>
          </w:p>
        </w:tc>
        <w:tc>
          <w:p/>
          <w:p>
            <w:pPr>
              <w:spacing w:after="0" w:before="0" w:lineRule="auto" w:line="276"/>
              <w:jc w:val="left"/>
            </w:pPr>
            <w:r>
              <w:rPr>
                <w:rFonts w:ascii="Times New Roman" w:hAnsi="Times New Roman" w:cs="Times New Roman" w:eastAsia="Times New Roman"/>
                <w:b w:val="false"/>
                <w:sz w:val="26"/>
              </w:rPr>
              <w:t>23-10-2012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06/2012/TT-BNG</w:t>
            </w:r>
          </w:p>
        </w:tc>
        <w:tc>
          <w:p/>
          <w:p>
            <w:pPr>
              <w:spacing w:after="0" w:before="0" w:lineRule="auto" w:line="276"/>
              <w:jc w:val="left"/>
            </w:pPr>
            <w:r>
              <w:rPr>
                <w:rFonts w:ascii="Times New Roman" w:hAnsi="Times New Roman" w:cs="Times New Roman" w:eastAsia="Times New Roman"/>
                <w:b w:val="false"/>
                <w:sz w:val="26"/>
              </w:rPr>
              <w:t>Thông tư 06/2012/TT-BNG</w:t>
            </w:r>
          </w:p>
        </w:tc>
        <w:tc>
          <w:p/>
          <w:p>
            <w:pPr>
              <w:spacing w:after="0" w:before="0" w:lineRule="auto" w:line="276"/>
              <w:jc w:val="left"/>
            </w:pPr>
            <w:r>
              <w:rPr>
                <w:rFonts w:ascii="Times New Roman" w:hAnsi="Times New Roman" w:cs="Times New Roman" w:eastAsia="Times New Roman"/>
                <w:b w:val="false"/>
                <w:sz w:val="26"/>
              </w:rPr>
              <w:t>10-12-2012</w:t>
            </w:r>
          </w:p>
        </w:tc>
        <w:tc>
          <w:p/>
          <w:p>
            <w:pPr>
              <w:spacing w:after="0" w:before="0" w:lineRule="auto" w:line="276"/>
              <w:jc w:val="left"/>
            </w:pPr>
            <w:r>
              <w:rPr>
                <w:rFonts w:ascii="Times New Roman" w:hAnsi="Times New Roman" w:cs="Times New Roman" w:eastAsia="Times New Roman"/>
                <w:b w:val="false"/>
                <w:sz w:val="26"/>
              </w:rPr>
              <w:t>Bộ Ngoại giao</w:t>
            </w:r>
          </w:p>
        </w:tc>
      </w:tr>
      <w:tr>
        <w:tc>
          <w:p/>
          <w:p>
            <w:pPr>
              <w:spacing w:after="0" w:before="0" w:lineRule="auto" w:line="276"/>
              <w:jc w:val="left"/>
            </w:pPr>
            <w:r>
              <w:rPr>
                <w:rFonts w:ascii="Times New Roman" w:hAnsi="Times New Roman" w:cs="Times New Roman" w:eastAsia="Times New Roman"/>
                <w:b w:val="false"/>
                <w:sz w:val="26"/>
              </w:rPr>
              <w:t>103/2016/QH13</w:t>
            </w:r>
          </w:p>
        </w:tc>
        <w:tc>
          <w:p/>
          <w:p>
            <w:pPr>
              <w:spacing w:after="0" w:before="0" w:lineRule="auto" w:line="276"/>
              <w:jc w:val="left"/>
            </w:pPr>
            <w:r>
              <w:rPr>
                <w:rFonts w:ascii="Times New Roman" w:hAnsi="Times New Roman" w:cs="Times New Roman" w:eastAsia="Times New Roman"/>
                <w:b w:val="false"/>
                <w:sz w:val="26"/>
              </w:rPr>
              <w:t>Luật 103/2016/QH13</w:t>
            </w:r>
          </w:p>
        </w:tc>
        <w:tc>
          <w:p/>
          <w:p>
            <w:pPr>
              <w:spacing w:after="0" w:before="0" w:lineRule="auto" w:line="276"/>
              <w:jc w:val="left"/>
            </w:pPr>
            <w:r>
              <w:rPr>
                <w:rFonts w:ascii="Times New Roman" w:hAnsi="Times New Roman" w:cs="Times New Roman" w:eastAsia="Times New Roman"/>
                <w:b w:val="false"/>
                <w:sz w:val="26"/>
              </w:rPr>
              <w:t>05-04-2016</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2025-11-27T16:29:25Z</dcterms:created>
  <dc:creator>Apache POI</dc:creator>
</cp:coreProperties>
</file>