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vào khu vực cấm, khu vực biên giới cho người nước ngoài tại Công an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 Người nước ngoài xin cấp giấy phép vào khu vực cấm, khu vực biên giới tại Việt Nam phải thông qua cơ quan, tổ chức, cá nhân mời, bảo lãnh để làm thủ tục với Cơ quan Quản lý xuất nhập cảnh Công cấp an tỉnh. Cơ quan, tổ chức, cá nhân mời, bảo lãnh người nước ngoài nộp hồ sơ tại Cơ quan Quản lý xuất nhập cảnh Công cấp an tỉnh.
Trường hợp người nước ngoài xin cấp giấy phép vào khu vực cấm, khu vực biên giới để giải quyết việc riêng của cá nhân người đó thì có thể trực tiếp nộp hồ sơ tại Cơ quan Quản lý xuất nhập cảnh Công cấp an tỉnh.
* Cán bộ quản lý xuất nhập cảnh tiếp nhận hồ sơ, kiểm tra tính pháp lý và nội dung hồ sơ:
+ Trường hợp hồ sơ đã đầy đủ, hợp lệ thì cấp giấy hẹn trả kết quả cho người đề nghị cấp giấy phép; yêu cầu nộp phí cho cán bộ thu phí. Cán bộ thu phí thu tiền, giao biên lai thu tiền cho người đề nghị cấp giấy phép.
+ Trường hợp hồ sơ thiếu hoặc không hợp lệ thì cán bộ tiếp nhận hồ sơ hướng dẫn để người đề nghị cấp giấy phép hoàn chỉnh hồ sơ.
* Thời gian tiếp nhận hồ sơ: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Nhận kết quả
+ Người đề nghị cấp giấy phép vào khu vực cấm, khu vực biên giới cho người nước ngoài trực tiếp nhận kết quả tại Cơ quan Quản lý xuất nhập cảnh Công an cấp tỉnh. Khi đến nhận kết quả mang theo giấy hẹn trả kết quả, giấy tờ tùy thân biên lai thu tiền để đối chiếu. 
+ Trường hợp không cấp giấy phép vào khu vực cấm, khu vực biên giới cho người nước ngoài thì trả lời bằng văn bản và nêu rõ lý do.
+ Trường hợp đề nghị nhận kết quả qua dịch vụ bưu chính thực hiện theo hướng dẫn của cơ quan cung cấp dịch vụ bưu chính.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10 USD</w:t>
              <w:t xml:space="preserve"> (10 USD/người)</w:t>
            </w:r>
          </w:p>
        </w:tc>
        <w:tc>
          <w:p/>
          <w:p>
            <w:pPr>
              <w:spacing w:after="0" w:before="0" w:lineRule="auto" w:line="276"/>
              <w:jc w:val="left"/>
            </w:pPr>
            <w:r>
              <w:rPr>
                <w:rFonts w:ascii="Times New Roman" w:hAnsi="Times New Roman" w:cs="Times New Roman" w:eastAsia="Times New Roman"/>
                <w:b w:val="false"/>
                <w:sz w:val="26"/>
              </w:rPr>
              <w:t>Nộp hồ sơ trực tiếp tại Cơ quan Quản lý xuất nhập cảnh Công an cấp tỉnh. 
không quá 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cấp giấy phép vào khu vực cấm, khu vực biên giới (mẫu NA14) ban hành kèm Thông tư số 04/2015/TT-BCA ngày 05/01/2015 của Bộ Công an.</w:t>
            </w:r>
          </w:p>
        </w:tc>
        <w:tc>
          <w:p/>
          <w:p>
            <w:pPr>
              <w:spacing w:after="0" w:before="0" w:lineRule="auto" w:line="276"/>
              <w:jc w:val="left"/>
            </w:pPr>
            <w:r>
              <w:rPr>
                <w:rFonts w:ascii="Times New Roman" w:hAnsi="Times New Roman" w:cs="Times New Roman" w:eastAsia="Times New Roman"/>
                <w:b w:val="false"/>
                <w:sz w:val="26"/>
              </w:rPr>
              <w:t>12-Mẫu NA14 2015.doc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xin phép cho thân nhân vào khu vực cấm, khu vực biên giới (mẫu NA15) ban hành kèm Thông tư 22/2023/TT-BCA ngày 30/6/2023 của Bộ Công an.</w:t>
            </w:r>
          </w:p>
        </w:tc>
        <w:tc>
          <w:p/>
          <w:p>
            <w:pPr>
              <w:spacing w:after="0" w:before="0" w:lineRule="auto" w:line="276"/>
              <w:jc w:val="left"/>
            </w:pPr>
            <w:r>
              <w:rPr>
                <w:rFonts w:ascii="Times New Roman" w:hAnsi="Times New Roman" w:cs="Times New Roman" w:eastAsia="Times New Roman"/>
                <w:b w:val="false"/>
                <w:sz w:val="26"/>
              </w:rPr>
              <w:t>NA15.pdf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Kèm theo hộ chiếu của người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Phòng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tiếp tại trụ sở Phòng Quản lý xuất nhập cảnh Công an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vào khu vực cấm, khu vực biên giới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 47/2014/QH13 </w:t>
            </w:r>
          </w:p>
        </w:tc>
        <w:tc>
          <w:p/>
          <w:p>
            <w:pPr>
              <w:spacing w:after="0" w:before="0" w:lineRule="auto" w:line="276"/>
              <w:jc w:val="left"/>
            </w:pPr>
            <w:r>
              <w:rPr>
                <w:rFonts w:ascii="Times New Roman" w:hAnsi="Times New Roman" w:cs="Times New Roman" w:eastAsia="Times New Roman"/>
                <w:b w:val="false"/>
                <w:sz w:val="26"/>
              </w:rPr>
              <w:t>47/2014/QH13</w:t>
            </w:r>
          </w:p>
        </w:tc>
        <w:tc>
          <w:p/>
          <w:p>
            <w:pPr>
              <w:spacing w:after="0" w:before="0" w:lineRule="auto" w:line="276"/>
              <w:jc w:val="left"/>
            </w:pPr>
            <w:r>
              <w:rPr>
                <w:rFonts w:ascii="Times New Roman" w:hAnsi="Times New Roman" w:cs="Times New Roman" w:eastAsia="Times New Roman"/>
                <w:b w:val="false"/>
                <w:sz w:val="26"/>
              </w:rPr>
              <w:t>16-06-2014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 04/2015/TT-BCA </w:t>
            </w:r>
          </w:p>
        </w:tc>
        <w:tc>
          <w:p/>
          <w:p>
            <w:pPr>
              <w:spacing w:after="0" w:before="0" w:lineRule="auto" w:line="276"/>
              <w:jc w:val="left"/>
            </w:pPr>
            <w:r>
              <w:rPr>
                <w:rFonts w:ascii="Times New Roman" w:hAnsi="Times New Roman" w:cs="Times New Roman" w:eastAsia="Times New Roman"/>
                <w:b w:val="false"/>
                <w:sz w:val="26"/>
              </w:rPr>
              <w:t>04/2015/TT-BCA</w:t>
            </w:r>
          </w:p>
        </w:tc>
        <w:tc>
          <w:p/>
          <w:p>
            <w:pPr>
              <w:spacing w:after="0" w:before="0" w:lineRule="auto" w:line="276"/>
              <w:jc w:val="left"/>
            </w:pPr>
            <w:r>
              <w:rPr>
                <w:rFonts w:ascii="Times New Roman" w:hAnsi="Times New Roman" w:cs="Times New Roman" w:eastAsia="Times New Roman"/>
                <w:b w:val="false"/>
                <w:sz w:val="26"/>
              </w:rPr>
              <w:t>05-01-2015</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51/2019/QH14</w:t>
            </w:r>
          </w:p>
        </w:tc>
        <w:tc>
          <w:p/>
          <w:p>
            <w:pPr>
              <w:spacing w:after="0" w:before="0" w:lineRule="auto" w:line="276"/>
              <w:jc w:val="left"/>
            </w:pPr>
            <w:r>
              <w:rPr>
                <w:rFonts w:ascii="Times New Roman" w:hAnsi="Times New Roman" w:cs="Times New Roman" w:eastAsia="Times New Roman"/>
                <w:b w:val="false"/>
                <w:sz w:val="26"/>
              </w:rPr>
              <w:t>Luật 51/2019/QH14</w:t>
            </w:r>
          </w:p>
        </w:tc>
        <w:tc>
          <w:p/>
          <w:p>
            <w:pPr>
              <w:spacing w:after="0" w:before="0" w:lineRule="auto" w:line="276"/>
              <w:jc w:val="left"/>
            </w:pPr>
            <w:r>
              <w:rPr>
                <w:rFonts w:ascii="Times New Roman" w:hAnsi="Times New Roman" w:cs="Times New Roman" w:eastAsia="Times New Roman"/>
                <w:b w:val="false"/>
                <w:sz w:val="26"/>
              </w:rPr>
              <w:t>25-11-2019</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22/2023/TT-BCA</w:t>
            </w:r>
          </w:p>
        </w:tc>
        <w:tc>
          <w:p/>
          <w:p>
            <w:pPr>
              <w:spacing w:after="0" w:before="0" w:lineRule="auto" w:line="276"/>
              <w:jc w:val="left"/>
            </w:pPr>
            <w:r>
              <w:rPr>
                <w:rFonts w:ascii="Times New Roman" w:hAnsi="Times New Roman" w:cs="Times New Roman" w:eastAsia="Times New Roman"/>
                <w:b w:val="false"/>
                <w:sz w:val="26"/>
              </w:rPr>
              <w:t>Thông tư số 22/2023/TT-BCA</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2025-11-27T16:29:28Z</dcterms:created>
  <dc:creator>Apache POI</dc:creator>
</cp:coreProperties>
</file>