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1.000940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870/QĐ-BXD</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Quyết định đưa cơ sở phá dỡ tàu biển vào hoạt động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Hàng hải và đường thủy nội địa</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a) Nộp hồ sơ TTHC</w:t>
      </w:r>
    </w:p>
    <w:p>
      <w:pPr>
        <w:spacing w:after="0" w:before="0" w:lineRule="auto" w:line="276"/>
        <w:jc w:val="both"/>
      </w:pPr>
      <w:r>
        <w:rPr>
          <w:rFonts w:ascii="Times New Roman" w:hAnsi="Times New Roman" w:cs="Times New Roman" w:eastAsia="Times New Roman"/>
          <w:b w:val="false"/>
          <w:sz w:val="26"/>
        </w:rPr>
        <w:t>Chủ cơ sở phá dỡ tàu biển nộp 01 bộ hồ sơ đề nghị đưa cơ sở phá dỡ tàu biển vào hoạt động trực tiếp hoặc qua dịch vụ bưu chính hoặc qua hệ thống dịch vụ công trực tuyến đến Ủy ban nhân dân cấp tỉnh.</w:t>
      </w:r>
    </w:p>
    <w:p>
      <w:pPr>
        <w:shd w:val="clear" w:color="auto" w:fill="F2F6F9"/>
        <w:spacing w:after="0" w:before="120" w:lineRule="auto" w:line="276"/>
        <w:jc w:val="both"/>
      </w:pPr>
      <w:r>
        <w:rPr>
          <w:rFonts w:ascii="Times New Roman" w:hAnsi="Times New Roman" w:cs="Times New Roman" w:eastAsia="Times New Roman"/>
          <w:b w:val="true"/>
          <w:sz w:val="26"/>
        </w:rPr>
        <w:t>b) Giải quyết hồ sơ TTHC</w:t>
      </w:r>
    </w:p>
    <w:p>
      <w:pPr>
        <w:spacing w:after="0" w:before="0" w:lineRule="auto" w:line="276"/>
        <w:jc w:val="both"/>
      </w:pPr>
      <w:r>
        <w:rPr>
          <w:rFonts w:ascii="Times New Roman" w:hAnsi="Times New Roman" w:cs="Times New Roman" w:eastAsia="Times New Roman"/>
          <w:b w:val="false"/>
          <w:sz w:val="26"/>
        </w:rPr>
        <w:t>- Ủy ban nhân dân cấp tỉnh tiếp nhận hồ sơ, kiểm tra phù hợp của hồ sơ, trường hợp hồ sơ chưa hợp lệ thì trong thời hạn 02 ngày làm việc kể từ khi nhận được hồ sơ, Ủy ban nhân dân cấp tỉnh hướng dẫn chủ cơ sở phá dỡ tàu biển hoàn thiện hồ sơ theo quy định tại Nghị định này.
- Trong thời hạn 04 ngày làm việc kể từ ngày nhận đủ hồ sơ hợp lệ, Ủy ban nhân dân cấp tỉnh quyết định đưa cơ sở phá dỡ tàu biển vào hoạt động theo mẫu; trường hợp không chấp thuận phải có văn bản trả lời và nêu rõ lý do. Trong quá trình xử lý hồ sơ, Ủy ban nhân dân cấp tỉnh được tiến hành các hoạt động: khảo sát, kiểm chứng các thông tin, số liệu về cơ sở vật chất của cơ sở phá dỡ tàu biển.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04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04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04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04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04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04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đưa cơ sở phá dỡ tàu biển vào hoạt động theo mẫu;</w:t>
            </w:r>
          </w:p>
        </w:tc>
        <w:tc>
          <w:p/>
          <w:p>
            <w:pPr>
              <w:spacing w:after="0" w:before="0" w:lineRule="auto" w:line="276"/>
              <w:jc w:val="left"/>
            </w:pPr>
            <w:r>
              <w:rPr>
                <w:rFonts w:ascii="Times New Roman" w:hAnsi="Times New Roman" w:cs="Times New Roman" w:eastAsia="Times New Roman"/>
                <w:b w:val="false"/>
                <w:sz w:val="26"/>
              </w:rPr>
              <w:t>Mẫu Văn bản đề nghị đưa cơ sở phá dỡ tàu biển đã qua sử dụng vào hoạt động.docx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phép môi trường của chủ cơ sở phá dỡ tàu biển được cơ quan nhà nước có thẩm quyền cấp (bản sao có chứng thực hoặc bản sao kèm bản chính để đối chiếu hoặc bản sao điện tử hoặc bản sao điện tử từ sổ gốc hoặc bản sao điện tử có chứng thực từ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Quy trình kiểm soát các yếu tố nguy hiểm, yếu tố có hại và phương án xử lý sự cố kỹ thuật gây mất an toàn, vệ sinh lao động nghiêm trọng (Bản chính hoặc hoặc bản sao có chứng thực hoặc bản sao điện tử hoặc bản sao điện tử có chứng thực từ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Văn bản thẩm duyệt, kiểm tra nghiệm thu về phòng cháy và chữa cháy của cơ quan Cảnh sát phòng cháy và chữa cháy (bản sao có chứng thực hoặc bản sao kèm bản chính để đối chiếu hoặc bản sao điện tử hoặc bản sao điện tử từ sổ gốc hoặc bản sao điện tử có chứng thực từ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Doanh nghiệp,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đưa cơ sở phá dỡ tàu biển vào hoạt động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95/2015/QH13</w:t>
            </w:r>
          </w:p>
        </w:tc>
        <w:tc>
          <w:p/>
          <w:p>
            <w:pPr>
              <w:spacing w:after="0" w:before="0" w:lineRule="auto" w:line="276"/>
              <w:jc w:val="left"/>
            </w:pPr>
            <w:r>
              <w:rPr>
                <w:rFonts w:ascii="Times New Roman" w:hAnsi="Times New Roman" w:cs="Times New Roman" w:eastAsia="Times New Roman"/>
                <w:b w:val="false"/>
                <w:sz w:val="26"/>
              </w:rPr>
              <w:t>Hàng hải</w:t>
            </w:r>
          </w:p>
        </w:tc>
        <w:tc>
          <w:p/>
          <w:p>
            <w:pPr>
              <w:spacing w:after="0" w:before="0" w:lineRule="auto" w:line="276"/>
              <w:jc w:val="left"/>
            </w:pPr>
            <w:r>
              <w:rPr>
                <w:rFonts w:ascii="Times New Roman" w:hAnsi="Times New Roman" w:cs="Times New Roman" w:eastAsia="Times New Roman"/>
                <w:b w:val="false"/>
                <w:sz w:val="26"/>
              </w:rPr>
              <w:t>25-11-2015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82/2019/NĐ-CP</w:t>
            </w:r>
          </w:p>
        </w:tc>
        <w:tc>
          <w:p/>
          <w:p>
            <w:pPr>
              <w:spacing w:after="0" w:before="0" w:lineRule="auto" w:line="276"/>
              <w:jc w:val="left"/>
            </w:pPr>
            <w:r>
              <w:rPr>
                <w:rFonts w:ascii="Times New Roman" w:hAnsi="Times New Roman" w:cs="Times New Roman" w:eastAsia="Times New Roman"/>
                <w:b w:val="false"/>
                <w:sz w:val="26"/>
              </w:rPr>
              <w:t>quy định về nhập khẩu, phá dỡ tàu biển đã qua sử dụng.</w:t>
            </w:r>
          </w:p>
        </w:tc>
        <w:tc>
          <w:p/>
          <w:p>
            <w:pPr>
              <w:spacing w:after="0" w:before="0" w:lineRule="auto" w:line="276"/>
              <w:jc w:val="left"/>
            </w:pPr>
            <w:r>
              <w:rPr>
                <w:rFonts w:ascii="Times New Roman" w:hAnsi="Times New Roman" w:cs="Times New Roman" w:eastAsia="Times New Roman"/>
                <w:b w:val="false"/>
                <w:sz w:val="26"/>
              </w:rPr>
              <w:t>12-11-2019</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74/2023/NĐ-CP</w:t>
            </w:r>
          </w:p>
        </w:tc>
        <w:tc>
          <w:p/>
          <w:p>
            <w:pPr>
              <w:spacing w:after="0" w:before="0" w:lineRule="auto" w:line="276"/>
              <w:jc w:val="left"/>
            </w:pPr>
            <w:r>
              <w:rPr>
                <w:rFonts w:ascii="Times New Roman" w:hAnsi="Times New Roman" w:cs="Times New Roman" w:eastAsia="Times New Roman"/>
                <w:b w:val="false"/>
                <w:sz w:val="26"/>
              </w:rPr>
              <w:t>sửa đổi, bổ sung một số điều của các Nghị định quy định liên quan đến phân cấp giải quyết thủ tục hành chính trong lĩnh vực hàng hải (có hiệu lực từ ngày 11/10/2024)</w:t>
            </w:r>
          </w:p>
        </w:tc>
        <w:tc>
          <w:p/>
          <w:p>
            <w:pPr>
              <w:spacing w:after="0" w:before="0" w:lineRule="auto" w:line="276"/>
              <w:jc w:val="left"/>
            </w:pPr>
            <w:r>
              <w:rPr>
                <w:rFonts w:ascii="Times New Roman" w:hAnsi="Times New Roman" w:cs="Times New Roman" w:eastAsia="Times New Roman"/>
                <w:b w:val="false"/>
                <w:sz w:val="26"/>
              </w:rPr>
              <w:t>11-10-2023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144/2025/NĐ-CP</w:t>
            </w:r>
          </w:p>
        </w:tc>
        <w:tc>
          <w:p/>
          <w:p>
            <w:pPr>
              <w:spacing w:after="0" w:before="0" w:lineRule="auto" w:line="276"/>
              <w:jc w:val="left"/>
            </w:pPr>
            <w:r>
              <w:rPr>
                <w:rFonts w:ascii="Times New Roman" w:hAnsi="Times New Roman" w:cs="Times New Roman" w:eastAsia="Times New Roman"/>
                <w:b w:val="false"/>
                <w:sz w:val="26"/>
              </w:rPr>
              <w:t>quy định về phân quyền, phân cấp trong lĩnh vực quản lý nhà nước của Bộ Xây dựng</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https://thutuc.dichvucong.gov.vn/p/home/dvc-tthc-thu-tuc-hanh-chinh-chi-tiet.html?ma_thu_tuc=1389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2025-11-27T16:29:30Z</dcterms:created>
  <dc:creator>Apache POI</dc:creator>
</cp:coreProperties>
</file>