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phép chế biến nguyên liệu thuốc lá nộp hồ sơ xin đề nghị cấp lại giấy phép chế biến nguyên liệu thuốc lá cho cơ quan nhà nước có thẩm quyền;
- Trong thời hạn 15 ngày làm việc kể từ ngày nhận đủ hồ sơ hợp lệ, cơ quan có thẩm quyền xem xét và cấp lại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pPr>
        <w:spacing w:after="0" w:before="0" w:lineRule="auto" w:line="276"/>
        <w:jc w:val="both"/>
      </w:pPr>
      <w:r>
        <w:rPr>
          <w:rFonts w:ascii="Times New Roman" w:hAnsi="Times New Roman" w:cs="Times New Roman" w:eastAsia="Times New Roman"/>
          <w:b w:val="false"/>
          <w:sz w:val="26"/>
        </w:rPr>
        <w:t>Doanh nghiệp có Giấy phép chế biến nguyên liệu thuốc lá gửi 01 bộ hồ sơ đề nghị cấp lại Giấy phép chế biến nguyên liệu thuốc lá hoặc qua đường bưu điện hoặc qua mạng điện tử đến Ủy ban nhân dân cấp tỉnh.
a) 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
b) Trường hợp giấy phép chế biến nguyên liệu thuốc lá bị mất, bị tiêu hủy toàn bộ hoặc một phần, bị rách, nát hoặc bị cháy, tổ chức, cá nhân được cấp phép phải lập, nộp 01 bộ hồ sơ đề nghị cấp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phép chế biến nguyên liệu thuốc lá bị mất, bị tiêu hủy toàn bộ hoặc một phần, bị rách, nát hoặc bị cháy, tổ chức, cá nhân được cấp phép phải lập, nộp 01 bộ hồ sơ đề nghị cấp lại,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(Theo mẫu Phụ lục 38 Thông tư số 57/2018/TT-BCT)</w:t>
            </w:r>
          </w:p>
        </w:tc>
        <w:tc>
          <w:p/>
          <w:p>
            <w:pPr>
              <w:spacing w:after="0" w:before="0" w:lineRule="auto" w:line="276"/>
              <w:jc w:val="left"/>
            </w:pPr>
            <w:r>
              <w:rPr>
                <w:rFonts w:ascii="Times New Roman" w:hAnsi="Times New Roman" w:cs="Times New Roman" w:eastAsia="Times New Roman"/>
                <w:b w:val="false"/>
                <w:sz w:val="26"/>
              </w:rPr>
              <w:t>Dondenghicaplai.docx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chế biến nguyên liệu thuốc lá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Thành phần hồ sơ thủ tục cấp lại như đối với trường hợp cấp mới.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bộ hồ sơ như cấp mới</w:t>
            </w:r>
          </w:p>
        </w:tc>
        <w:tc>
          <w:p/>
          <w:p>
            <w:pPr>
              <w:spacing w:after="0" w:before="0" w:lineRule="auto" w:line="276"/>
              <w:jc w:val="left"/>
            </w:pPr>
            <w:r>
              <w:rPr>
                <w:rFonts w:ascii="Times New Roman" w:hAnsi="Times New Roman" w:cs="Times New Roman" w:eastAsia="Times New Roman"/>
                <w:b w:val="false"/>
                <w:sz w:val="26"/>
              </w:rPr>
              <w:t>Dondenghicapgiayphep.docx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lại Giấy phép chế biến nguyên liệu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106/2017/NĐ-CP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67/2013/NĐ-CP ngày 27 tháng 6 năm 2013 của Chính phủ 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09/2012/QH13</w:t>
            </w:r>
          </w:p>
        </w:tc>
        <w:tc>
          <w:p/>
          <w:p>
            <w:pPr>
              <w:spacing w:after="0" w:before="0" w:lineRule="auto" w:line="276"/>
              <w:jc w:val="left"/>
            </w:pPr>
            <w:r>
              <w:rPr>
                <w:rFonts w:ascii="Times New Roman" w:hAnsi="Times New Roman" w:cs="Times New Roman" w:eastAsia="Times New Roman"/>
                <w:b w:val="false"/>
                <w:sz w:val="26"/>
              </w:rPr>
              <w:t>LUẬT PHÒNG, CHỐNG TÁC HẠI CỦA THUỐC LÁ</w:t>
            </w:r>
          </w:p>
        </w:tc>
        <w:tc>
          <w:p/>
          <w:p>
            <w:pPr>
              <w:spacing w:after="0" w:before="0" w:lineRule="auto" w:line="276"/>
              <w:jc w:val="left"/>
            </w:pPr>
            <w:r>
              <w:rPr>
                <w:rFonts w:ascii="Times New Roman" w:hAnsi="Times New Roman" w:cs="Times New Roman" w:eastAsia="Times New Roman"/>
                <w:b w:val="false"/>
                <w:sz w:val="26"/>
              </w:rPr>
              <w:t>18-06-2012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28/2019/TT-BCT</w:t>
            </w:r>
          </w:p>
        </w:tc>
        <w:tc>
          <w:p/>
          <w:p>
            <w:pPr>
              <w:spacing w:after="0" w:before="0" w:lineRule="auto" w:line="276"/>
              <w:jc w:val="left"/>
            </w:pPr>
            <w:r>
              <w:rPr>
                <w:rFonts w:ascii="Times New Roman" w:hAnsi="Times New Roman" w:cs="Times New Roman" w:eastAsia="Times New Roman"/>
                <w:b w:val="false"/>
                <w:sz w:val="26"/>
              </w:rPr>
              <w:t>Thông tư 28/2019/TT-BCT</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chuyên ngành đồng bộ tách cọng thuốc lá hoặc chế biến ra thuốc lá sợi, thuốc lá tấm và các nguyên liệu thay thế khác dùng để sản xuất ra các sản phẩm thuốc lá. Dây chuyền chế biến nguyên liệu phải được chuyên môn hóa, đáp ứng các tiêu chuẩn vệ sinh công nghiệp, an toàn lao động và vệ sinh môi trường;
- Toàn bộ máy móc thiết bị phải có nguồn gốc hợp pháp;
- Địa điểm đặt cơ sở chế biến phải phù hợp Chiến lược sản xuất sản phẩm thuốc lá và vùng nguyên liệu thuốc lá được cấp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2025-11-27T15:50:09Z</dcterms:created>
  <dc:creator>Apache POI</dc:creator>
</cp:coreProperties>
</file>