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1.000949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Chấp thuận nhập khẩu nguyên liệu thuốc lá để chế biến nguyên liệu thuốc lá xuất khẩu hoặc gia công chế biến nguyên liệu thuốc lá xuất khẩu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01 bộ hồ sơ đề nghị nhập khẩu hoặc gia hạn thời hạn nhập khẩu nguyên liệu thuốc lá để sản xuất xuất khẩu hoặc gia công xuất khẩu nguyên liệu thuốc lá cho Ủy ban nhân dân cấp tỉnh;
- Trong thời hạn 20 ngày kể từ ngày nhận đủ hồ sơ hợp lệ, Ủy ban nhân dân cấp tỉnh xem xét và chấp thuận cho doanh nghiệp được nhập khẩu hoặc gia hạn thời hạn nhập khẩu nguyên liệu thuốc lá để sản xuất xuất khẩu hoặc gia công xuất khẩu nguyên liệu thuốc lá. Trường hợp doanh nghiệp không đáp ứng được điều kiện theo quy định, Ủy ban nhân dân cấp tỉnh sẽ có văn bản trả lời từ chối cấp phép và nêu rõ lý do;
- Trường hợp chưa đủ hồ sơ hợp lệ, trong vòng 07 ngày làm việc kể từ ngày tiếp nhận hồ sơ của doanh nghiệp, Ủy ban nhân dân cấp tỉnh có văn bản yêu cầu doanh nghiệp bổ sung.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ngày làm việc kể từ ngày nhận đủ hồ sơ hợp lệ của doanh nghiệp.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ngày làm việc kể từ ngày nhận đủ hồ sơ hợp lệ của doanh nghiệp.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ngày làm việc kể từ ngày nhận đủ hồ sơ hợp lệ của doanh nghiệp.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nhập khẩu hoặc gia hạn thời hạn nhập khẩu nguyên liệu thuốc lá để sản xuất xuất khẩu hoặc gia công xuất khẩu nguyên liệu thuốc lá</w:t>
            </w:r>
          </w:p>
        </w:tc>
        <w:tc>
          <w:p/>
          <w:p>
            <w:pPr>
              <w:spacing w:after="0" w:before="0" w:lineRule="auto" w:line="276"/>
              <w:jc w:val="left"/>
            </w:pPr>
            <w:r>
              <w:rPr>
                <w:rFonts w:ascii="Times New Roman" w:hAnsi="Times New Roman" w:cs="Times New Roman" w:eastAsia="Times New Roman"/>
                <w:b w:val="false"/>
                <w:sz w:val="26"/>
              </w:rPr>
              <w:t>Mau23.docx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chế biến nguyên liệu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Hợp đồng sản xuất xuất khẩu hoặc gia công xuất khẩu nguyên liệu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Chấp thuận nhập khẩu nguyên liệu thuốc lá để chế biến nguyên liệu thuốc lá xuất khẩu hoặc gia công chế biến nguyên liệu thuốc lá xuất khẩu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09/2012/QH13</w:t>
            </w:r>
          </w:p>
        </w:tc>
        <w:tc>
          <w:p/>
          <w:p>
            <w:pPr>
              <w:spacing w:after="0" w:before="0" w:lineRule="auto" w:line="276"/>
              <w:jc w:val="left"/>
            </w:pPr>
            <w:r>
              <w:rPr>
                <w:rFonts w:ascii="Times New Roman" w:hAnsi="Times New Roman" w:cs="Times New Roman" w:eastAsia="Times New Roman"/>
                <w:b w:val="false"/>
                <w:sz w:val="26"/>
              </w:rPr>
              <w:t>Luật 09/2012/QH13</w:t>
            </w:r>
          </w:p>
        </w:tc>
        <w:tc>
          <w:p/>
          <w:p>
            <w:pPr>
              <w:spacing w:after="0" w:before="0" w:lineRule="auto" w:line="276"/>
              <w:jc w:val="left"/>
            </w:pPr>
            <w:r>
              <w:rPr>
                <w:rFonts w:ascii="Times New Roman" w:hAnsi="Times New Roman" w:cs="Times New Roman" w:eastAsia="Times New Roman"/>
                <w:b w:val="false"/>
                <w:sz w:val="26"/>
              </w:rPr>
              <w:t>18-06-2012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Nghị định 67/2013/NĐ-CP</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26-12-2018</w:t>
            </w:r>
          </w:p>
        </w:tc>
        <w:tc>
          <w:p/>
        </w:tc>
      </w:tr>
      <w:tr>
        <w:tc>
          <w:p/>
          <w:p>
            <w:pPr>
              <w:spacing w:after="0" w:before="0" w:lineRule="auto" w:line="276"/>
              <w:jc w:val="left"/>
            </w:pPr>
            <w:r>
              <w:rPr>
                <w:rFonts w:ascii="Times New Roman" w:hAnsi="Times New Roman" w:cs="Times New Roman" w:eastAsia="Times New Roman"/>
                <w:b w:val="false"/>
                <w:sz w:val="26"/>
              </w:rPr>
              <w:t>43/2023/TT-BCT</w:t>
            </w:r>
          </w:p>
        </w:tc>
        <w:tc>
          <w:p/>
          <w:p>
            <w:pPr>
              <w:spacing w:after="0" w:before="0" w:lineRule="auto" w:line="276"/>
              <w:jc w:val="left"/>
            </w:pPr>
            <w:r>
              <w:rPr>
                <w:rFonts w:ascii="Times New Roman" w:hAnsi="Times New Roman" w:cs="Times New Roman" w:eastAsia="Times New Roman"/>
                <w:b w:val="false"/>
                <w:sz w:val="26"/>
              </w:rPr>
              <w:t>Thông tư số 43/2023/TT_BCT</w:t>
            </w:r>
          </w:p>
        </w:tc>
        <w:tc>
          <w:p/>
          <w:p>
            <w:pPr>
              <w:spacing w:after="0" w:before="0" w:lineRule="auto" w:line="276"/>
              <w:jc w:val="left"/>
            </w:pPr>
            <w:r>
              <w:rPr>
                <w:rFonts w:ascii="Times New Roman" w:hAnsi="Times New Roman" w:cs="Times New Roman" w:eastAsia="Times New Roman"/>
                <w:b w:val="false"/>
                <w:sz w:val="26"/>
              </w:rPr>
              <w:t>28-12-2023</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Giấy phép chế biến nguyên liệu thuốc lá;
- Hợp đồng sản xuất xuất khẩu hoặc gia công xuất khẩu sản phẩm thuốc lá;
- Được sự đồng ý của Bộ Công Thương.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https://thutuc.dichvucong.gov.vn/p/home/dvc-tthc-thu-tuc-hanh-chinh-chi-tiet.html?ma_thu_tuc=1401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2025-11-27T16:29:42Z</dcterms:created>
  <dc:creator>Apache POI</dc:creator>
</cp:coreProperties>
</file>