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vốn\Bồi thường thiệt hại về đất đối với các hộ dân tái định cư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Phương án bồi thường chênh lệch giá trị đất nơi đi và nơi đến được cấp có thẩm quyền phê duyệt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bồi thường chênh lệch giá trị đất nơi đi và nơi đến được cấp có thẩm quyền phê duyệt - Bản chính hoặc bản sao có đóng dấu sao y bản chính của chủ đầu tư.  Ngoài ra:  Đối với hộ tái định cư tự nguyện: Phải có Đơn tự nguyện di chuyển của hộ tái định cư theo quy định tại khoản 5, điều 10 Quyết định số 02/2007/QĐ-TTg ngày 9/1/2007 của Thủ tướng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giá trị đề nghị tạm ứng - Bản chính.</w:t>
            </w:r>
          </w:p>
        </w:tc>
        <w:tc>
          <w:p/>
          <w:p>
            <w:pPr>
              <w:spacing w:after="0" w:before="0" w:lineRule="auto" w:line="276"/>
              <w:jc w:val="left"/>
            </w:pPr>
            <w:r>
              <w:rPr>
                <w:rFonts w:ascii="Times New Roman" w:hAnsi="Times New Roman" w:cs="Times New Roman" w:eastAsia="Times New Roman"/>
                <w:b w:val="false"/>
                <w:sz w:val="26"/>
              </w:rPr>
              <w:t>BiÓu sè 01QL-T§SL.doc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của Ban QLDA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bồi thường chênh lệch giá trị đất (mẫu số 01C/QL-TĐSL) - Bản chính.</w:t>
            </w:r>
          </w:p>
        </w:tc>
        <w:tc>
          <w:p/>
          <w:p>
            <w:pPr>
              <w:spacing w:after="0" w:before="0" w:lineRule="auto" w:line="276"/>
              <w:jc w:val="left"/>
            </w:pPr>
            <w:r>
              <w:rPr>
                <w:rFonts w:ascii="Times New Roman" w:hAnsi="Times New Roman" w:cs="Times New Roman" w:eastAsia="Times New Roman"/>
                <w:b w:val="false"/>
                <w:sz w:val="26"/>
              </w:rPr>
              <w:t>MÉu biÓu sè 01CQL-T§SL_2.doc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vốn\Bồi thường thiệt hại về đất đối với các hộ dân tái định cư,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QHTT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2025-11-27T16:29:44Z</dcterms:created>
  <dc:creator>Apache POI</dc:creator>
</cp:coreProperties>
</file>