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chứng nhận đăng ký thành lập và hoạt động của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Hợp tác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sở văn hóa nước ngoài tại Việt Nam nộp trực tiếp hoặc qua bưu điện 01 bộ hồ sơ đến Bộ Văn hóa, Thể thao và Du lịch;</w:t>
      </w:r>
    </w:p>
    <w:p>
      <w:pPr>
        <w:spacing w:after="0" w:before="0" w:lineRule="auto" w:line="276"/>
        <w:jc w:val="both"/>
      </w:pPr>
      <w:r>
        <w:rPr>
          <w:rFonts w:ascii="Times New Roman" w:hAnsi="Times New Roman" w:cs="Times New Roman" w:eastAsia="Times New Roman"/>
          <w:b w:val="false"/>
          <w:sz w:val="26"/>
        </w:rPr>
        <w:t>Trường hợp hồ sơ không đầy đủ, trong thời hạn 05 ngày làm việc, kể từ ngày tiếp nhận hồ sơ, Bộ Văn hóa, Thể thao và Du lịch thông báo bằng văn bản gửi trực tiếp hoặc qua bưu điện hoặc thư điện tử cho cơ sở văn hóa nước ngoài tại Việt Nam để bổ sung hồ sơ;</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đủ hồ sơ theo quy định, Bộ trưởng Bộ Văn hóa, Thể thao và Du lịch cấp lại Giấy chứng nhận đăng ký. Trường hợp từ chối phải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kể từ ngày tiếp nhận hồ sơ, Bộ Văn hóa, Thể thao và Du lịch thông báo bằng văn bản gửi trực tiếp hoặc qua bưu điện hoặc thư điện tử cho cơ sở văn hóa nước ngoài tại Việt Nam để bổ sung hồ sơ;
- Trong thời hạn 07 ngày làm việc, kể từ ngày nhận đủ hồ sơ theo quy định, Bộ trưởng Bộ Văn hóa, Thể thao và Du lịch cấp lại Giấy chứng nhận đăng ký. Trường hợp từ chối phải trả lời bằng văn bản,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kể từ ngày tiếp nhận hồ sơ, Bộ Văn hóa, Thể thao và Du lịch thông báo bằng văn bản gửi trực tiếp hoặc qua bưu điện hoặc thư điện tử cho cơ sở văn hóa nước ngoài tại Việt Nam để bổ sung hồ sơ;
- Trong thời hạn 07 ngày làm việc, kể từ ngày nhận đủ hồ sơ theo quy định, Bộ trưởng Bộ Văn hóa, Thể thao và Du lịch cấp lại Giấy chứng nhận đăng ký. Trường hợp từ chối phải trả lời bằng văn bản,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lại theo Mẫu số 03 tại Phụ lục ban hành kèm theo Nghị định số126/2018/NĐ-CP ngày 20 tháng 9 năm 2018 của Chính phủ;</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Giấy chứng nhận đăng ký (đối với trường hợp bị rách,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Bản sao Giấy chứng nhận đăng ký có công chứng và các tài liệu chứng minh việc thay đổi về tên gọi, địa điểm trụ sở, người đại diện theo pháp luật hoặc nội dung hoạt động khi điều ước quốc tế có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thành lập và hoạt động của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126/2018/NĐ-CP</w:t>
            </w:r>
          </w:p>
        </w:tc>
        <w:tc>
          <w:p/>
          <w:p>
            <w:pPr>
              <w:spacing w:after="0" w:before="0" w:lineRule="auto" w:line="276"/>
              <w:jc w:val="left"/>
            </w:pPr>
            <w:r>
              <w:rPr>
                <w:rFonts w:ascii="Times New Roman" w:hAnsi="Times New Roman" w:cs="Times New Roman" w:eastAsia="Times New Roman"/>
                <w:b w:val="false"/>
                <w:sz w:val="26"/>
              </w:rPr>
              <w:t>126/2018/NĐ-CP ngày 20/9/2018</w:t>
            </w:r>
          </w:p>
        </w:tc>
        <w:tc>
          <w:p/>
          <w:p>
            <w:pPr>
              <w:spacing w:after="0" w:before="0" w:lineRule="auto" w:line="276"/>
              <w:jc w:val="left"/>
            </w:pPr>
            <w:r>
              <w:rPr>
                <w:rFonts w:ascii="Times New Roman" w:hAnsi="Times New Roman" w:cs="Times New Roman" w:eastAsia="Times New Roman"/>
                <w:b w:val="false"/>
                <w:sz w:val="26"/>
              </w:rPr>
              <w:t>20-09-2018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Bị rách, hỏng hoặc bị mất;
- Thay đổi về tên gọi, địa điểm trụ sở, người đại diện theo pháp luật hoặc nội dung hoạt động khi điều ước quốc tế có điều chỉnh.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2025-11-27T16:30:21Z</dcterms:created>
  <dc:creator>Apache POI</dc:creator>
</cp:coreProperties>
</file>