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spacing w:after="300" w:before="0" w:lineRule="auto" w:line="276"/>
        <w:jc w:val="center"/>
      </w:pPr>
      <w:r>
        <w:rPr>
          <w:rFonts w:ascii="Times New Roman" w:hAnsi="Times New Roman" w:cs="Times New Roman" w:eastAsia="Times New Roman"/>
          <w:b w:val="true"/>
          <w:sz w:val="26"/>
        </w:rPr>
        <w:t>Chi tiết thủ tục hành chính</w:t>
      </w:r>
    </w:p>
    <w:p>
      <w:pPr>
        <w:spacing w:after="0" w:before="0" w:lineRule="auto" w:line="276"/>
        <w:jc w:val="both"/>
      </w:pPr>
      <w:r>
        <w:rPr>
          <w:rFonts w:ascii="Times New Roman" w:hAnsi="Times New Roman" w:cs="Times New Roman" w:eastAsia="Times New Roman"/>
          <w:b w:val="true"/>
          <w:sz w:val="26"/>
        </w:rPr>
        <w:t xml:space="preserve">Mã thủ tục: </w:t>
      </w:r>
      <w:r>
        <w:rPr>
          <w:rFonts w:ascii="Times New Roman" w:hAnsi="Times New Roman" w:cs="Times New Roman" w:eastAsia="Times New Roman"/>
          <w:b w:val="false"/>
          <w:sz w:val="26"/>
        </w:rPr>
        <w:t>1.000997</w:t>
      </w:r>
    </w:p>
    <w:p>
      <w:pPr>
        <w:spacing w:after="0" w:before="0" w:lineRule="auto" w:line="276"/>
        <w:jc w:val="both"/>
      </w:pPr>
      <w:r>
        <w:rPr>
          <w:rFonts w:ascii="Times New Roman" w:hAnsi="Times New Roman" w:cs="Times New Roman" w:eastAsia="Times New Roman"/>
          <w:b w:val="true"/>
          <w:sz w:val="26"/>
        </w:rPr>
        <w:t xml:space="preserve">Số quyết định: </w:t>
      </w:r>
      <w:r>
        <w:rPr>
          <w:rFonts w:ascii="Times New Roman" w:hAnsi="Times New Roman" w:cs="Times New Roman" w:eastAsia="Times New Roman"/>
          <w:b w:val="false"/>
          <w:sz w:val="26"/>
        </w:rPr>
        <w:t>3596/QĐ-NHCS</w:t>
      </w:r>
    </w:p>
    <w:p>
      <w:pPr>
        <w:spacing w:after="0" w:before="0" w:lineRule="auto" w:line="276"/>
        <w:jc w:val="both"/>
      </w:pPr>
      <w:r>
        <w:rPr>
          <w:rFonts w:ascii="Times New Roman" w:hAnsi="Times New Roman" w:cs="Times New Roman" w:eastAsia="Times New Roman"/>
          <w:b w:val="true"/>
          <w:sz w:val="26"/>
        </w:rPr>
        <w:t xml:space="preserve">Tên thủ tục: </w:t>
      </w:r>
      <w:r>
        <w:rPr>
          <w:rFonts w:ascii="Times New Roman" w:hAnsi="Times New Roman" w:cs="Times New Roman" w:eastAsia="Times New Roman"/>
          <w:b w:val="false"/>
          <w:sz w:val="26"/>
        </w:rPr>
        <w:t>Thủ tục cấp bản sao Hợp đồng tiền gửi có kỳ hạn</w:t>
      </w:r>
    </w:p>
    <w:p>
      <w:pPr>
        <w:spacing w:after="0" w:before="0" w:lineRule="auto" w:line="276"/>
        <w:jc w:val="both"/>
      </w:pPr>
      <w:r>
        <w:rPr>
          <w:rFonts w:ascii="Times New Roman" w:hAnsi="Times New Roman" w:cs="Times New Roman" w:eastAsia="Times New Roman"/>
          <w:b w:val="true"/>
          <w:sz w:val="26"/>
        </w:rPr>
        <w:t xml:space="preserve">Cấp thực hiện: </w:t>
      </w:r>
      <w:r>
        <w:rPr>
          <w:rFonts w:ascii="Times New Roman" w:hAnsi="Times New Roman" w:cs="Times New Roman" w:eastAsia="Times New Roman"/>
          <w:b w:val="false"/>
          <w:sz w:val="26"/>
        </w:rPr>
        <w:t>Cấp Tỉnh, Cấp Xã</w:t>
      </w:r>
    </w:p>
    <w:p>
      <w:pPr>
        <w:spacing w:after="0" w:before="0" w:lineRule="auto" w:line="276"/>
        <w:jc w:val="both"/>
      </w:pPr>
      <w:r>
        <w:rPr>
          <w:rFonts w:ascii="Times New Roman" w:hAnsi="Times New Roman" w:cs="Times New Roman" w:eastAsia="Times New Roman"/>
          <w:b w:val="true"/>
          <w:sz w:val="26"/>
        </w:rPr>
        <w:t xml:space="preserve">Loại thủ tục: </w:t>
      </w:r>
      <w:r>
        <w:rPr>
          <w:rFonts w:ascii="Times New Roman" w:hAnsi="Times New Roman" w:cs="Times New Roman" w:eastAsia="Times New Roman"/>
          <w:b w:val="false"/>
          <w:sz w:val="26"/>
        </w:rPr>
        <w:t>TTHC không được luật giao cho địa phương quy định hoặc quy định chi tiết</w:t>
      </w:r>
    </w:p>
    <w:p>
      <w:pPr>
        <w:spacing w:after="0" w:before="0" w:lineRule="auto" w:line="276"/>
        <w:jc w:val="both"/>
      </w:pPr>
      <w:r>
        <w:rPr>
          <w:rFonts w:ascii="Times New Roman" w:hAnsi="Times New Roman" w:cs="Times New Roman" w:eastAsia="Times New Roman"/>
          <w:b w:val="true"/>
          <w:sz w:val="26"/>
        </w:rPr>
        <w:t xml:space="preserve">Lĩnh vực: </w:t>
      </w:r>
      <w:r>
        <w:rPr>
          <w:rFonts w:ascii="Times New Roman" w:hAnsi="Times New Roman" w:cs="Times New Roman" w:eastAsia="Times New Roman"/>
          <w:b w:val="false"/>
          <w:sz w:val="26"/>
        </w:rPr>
        <w:t>Hoạt động khác</w:t>
      </w:r>
    </w:p>
    <w:p>
      <w:pPr>
        <w:spacing w:after="0" w:before="0" w:lineRule="auto" w:line="276"/>
        <w:jc w:val="both"/>
      </w:pPr>
      <w:r>
        <w:rPr>
          <w:rFonts w:ascii="Times New Roman" w:hAnsi="Times New Roman" w:cs="Times New Roman" w:eastAsia="Times New Roman"/>
          <w:b w:val="true"/>
          <w:sz w:val="26"/>
        </w:rPr>
        <w:t xml:space="preserve">Trình tự thực hiện: </w:t>
      </w:r>
    </w:p>
    <w:p>
      <w:pPr>
        <w:shd w:val="clear" w:color="auto" w:fill="F2F6F9"/>
        <w:spacing w:after="0" w:before="120" w:lineRule="auto" w:line="276"/>
        <w:jc w:val="both"/>
      </w:pPr>
      <w:r>
        <w:rPr>
          <w:rFonts w:ascii="Times New Roman" w:hAnsi="Times New Roman" w:cs="Times New Roman" w:eastAsia="Times New Roman"/>
          <w:b w:val="true"/>
          <w:sz w:val="26"/>
        </w:rPr>
        <w:t/>
      </w:r>
    </w:p>
    <w:p>
      <w:pPr>
        <w:spacing w:after="0" w:before="0" w:lineRule="auto" w:line="276"/>
        <w:jc w:val="both"/>
      </w:pPr>
      <w:r>
        <w:rPr>
          <w:rFonts w:ascii="Times New Roman" w:hAnsi="Times New Roman" w:cs="Times New Roman" w:eastAsia="Times New Roman"/>
          <w:b w:val="false"/>
          <w:sz w:val="26"/>
        </w:rPr>
        <w:t>- Khách hàng xuất trình hồ sơ theo quy định;</w:t>
      </w:r>
    </w:p>
    <w:p>
      <w:pPr>
        <w:spacing w:after="0" w:before="0" w:lineRule="auto" w:line="276"/>
        <w:jc w:val="both"/>
      </w:pPr>
      <w:r>
        <w:rPr>
          <w:rFonts w:ascii="Times New Roman" w:hAnsi="Times New Roman" w:cs="Times New Roman" w:eastAsia="Times New Roman"/>
          <w:b w:val="false"/>
          <w:sz w:val="26"/>
        </w:rPr>
        <w:t>- Khách hàng lập Giấy báo nhàu nát, rách, mất Hợp đồng tiền gửi có kỳ hạn;</w:t>
      </w:r>
    </w:p>
    <w:p>
      <w:pPr>
        <w:spacing w:after="0" w:before="0" w:lineRule="auto" w:line="276"/>
        <w:jc w:val="both"/>
      </w:pPr>
      <w:r>
        <w:rPr>
          <w:rFonts w:ascii="Times New Roman" w:hAnsi="Times New Roman" w:cs="Times New Roman" w:eastAsia="Times New Roman"/>
          <w:b w:val="false"/>
          <w:sz w:val="26"/>
        </w:rPr>
        <w:t>- Khách hàng ký xác nhận trên “Sổ theo dõi báo nhàu nát, rách, mất Hợp đồng tiền gửi có kỳ hạn” (mẫu số 05/NHCS-TGCKH);</w:t>
      </w:r>
    </w:p>
    <w:p>
      <w:pPr>
        <w:spacing w:after="0" w:before="0" w:lineRule="auto" w:line="276"/>
        <w:jc w:val="both"/>
      </w:pPr>
      <w:r>
        <w:rPr>
          <w:rFonts w:ascii="Times New Roman" w:hAnsi="Times New Roman" w:cs="Times New Roman" w:eastAsia="Times New Roman"/>
          <w:b w:val="false"/>
          <w:sz w:val="26"/>
        </w:rPr>
        <w:t>- NHCSXH kiểm tra, xác minh thông tin;</w:t>
      </w:r>
    </w:p>
    <w:p>
      <w:pPr>
        <w:spacing w:after="0" w:before="0" w:lineRule="auto" w:line="276"/>
        <w:jc w:val="both"/>
      </w:pPr>
      <w:r>
        <w:rPr>
          <w:rFonts w:ascii="Times New Roman" w:hAnsi="Times New Roman" w:cs="Times New Roman" w:eastAsia="Times New Roman"/>
          <w:b w:val="false"/>
          <w:sz w:val="26"/>
        </w:rPr>
        <w:t>- NHCSXH thực hiện cấp bản sao Hợp đồng tiền gửi có kỳ hạn; thu lại Hợp đồng tiền gửi có kỳ hạn (bị nhàu nát, rách).</w:t>
      </w:r>
    </w:p>
    <w:p>
      <w:pPr>
        <w:spacing w:after="0" w:before="0" w:lineRule="auto" w:line="276"/>
        <w:jc w:val="both"/>
      </w:pPr>
      <w:r>
        <w:rPr>
          <w:rFonts w:ascii="Times New Roman" w:hAnsi="Times New Roman" w:cs="Times New Roman" w:eastAsia="Times New Roman"/>
          <w:b w:val="false"/>
          <w:sz w:val="26"/>
        </w:rPr>
        <w:t>- Khách hàng trực tiếp thông báo cho NHCSXH nơi nhận tiền gửi có kỳ hạn khi Hợp đồng tiền gửi có kỳ hạn bị mất, hỏng (nhàu nát, rách);</w:t>
      </w:r>
    </w:p>
    <w:p>
      <w:pPr>
        <w:spacing w:after="0" w:before="240" w:lineRule="auto" w:line="276"/>
        <w:jc w:val="both"/>
      </w:pPr>
      <w:r>
        <w:rPr>
          <w:rFonts w:ascii="Times New Roman" w:hAnsi="Times New Roman" w:cs="Times New Roman" w:eastAsia="Times New Roman"/>
          <w:b w:val="true"/>
          <w:sz w:val="26"/>
        </w:rPr>
        <w:t xml:space="preserve">Cách thức thực hiện: </w:t>
      </w:r>
    </w:p>
    <w:tbl>
      <w:tblPr>
        <w:tblW w:w="0" w:type="auto"/>
        <w:tblBorders>
          <w:top w:val="single"/>
          <w:left w:val="single"/>
          <w:bottom w:val="single"/>
          <w:right w:val="single"/>
          <w:insideH w:val="single"/>
          <w:insideV w:val="single"/>
        </w:tblBorders>
      </w:tblPr>
      <w:tr>
        <w:tc>
          <w:tcPr>
            <w:tcW w:w="1500"/>
          </w:tcPr>
          <w:p/>
          <w:p>
            <w:pPr>
              <w:spacing w:after="0" w:before="0" w:lineRule="auto" w:line="276"/>
              <w:jc w:val="center"/>
            </w:pPr>
            <w:r>
              <w:rPr>
                <w:rFonts w:ascii="Times New Roman" w:hAnsi="Times New Roman" w:cs="Times New Roman" w:eastAsia="Times New Roman"/>
                <w:b w:val="true"/>
                <w:sz w:val="26"/>
              </w:rPr>
              <w:t>Hình thức nộp</w:t>
            </w:r>
          </w:p>
        </w:tc>
        <w:tc>
          <w:tcPr>
            <w:tcW w:w="2000"/>
          </w:tcPr>
          <w:p/>
          <w:p>
            <w:pPr>
              <w:spacing w:after="0" w:before="0" w:lineRule="auto" w:line="276"/>
              <w:jc w:val="center"/>
            </w:pPr>
            <w:r>
              <w:rPr>
                <w:rFonts w:ascii="Times New Roman" w:hAnsi="Times New Roman" w:cs="Times New Roman" w:eastAsia="Times New Roman"/>
                <w:b w:val="true"/>
                <w:sz w:val="26"/>
              </w:rPr>
              <w:t>Thời hạn giải quyết</w:t>
            </w:r>
          </w:p>
        </w:tc>
        <w:tc>
          <w:tcPr>
            <w:tcW w:w="3500"/>
          </w:tcPr>
          <w:p/>
          <w:p>
            <w:pPr>
              <w:spacing w:after="0" w:before="0" w:lineRule="auto" w:line="276"/>
              <w:jc w:val="center"/>
            </w:pPr>
            <w:r>
              <w:rPr>
                <w:rFonts w:ascii="Times New Roman" w:hAnsi="Times New Roman" w:cs="Times New Roman" w:eastAsia="Times New Roman"/>
                <w:b w:val="true"/>
                <w:sz w:val="26"/>
              </w:rPr>
              <w:t>Phí, lệ phí</w:t>
            </w:r>
          </w:p>
        </w:tc>
        <w:tc>
          <w:tcPr>
            <w:tcW w:w="3000"/>
          </w:tcPr>
          <w:p/>
          <w:p>
            <w:pPr>
              <w:spacing w:after="0" w:before="0" w:lineRule="auto" w:line="276"/>
              <w:jc w:val="center"/>
            </w:pPr>
            <w:r>
              <w:rPr>
                <w:rFonts w:ascii="Times New Roman" w:hAnsi="Times New Roman" w:cs="Times New Roman" w:eastAsia="Times New Roman"/>
                <w:b w:val="true"/>
                <w:sz w:val="26"/>
              </w:rPr>
              <w:t>Mô tả</w:t>
            </w:r>
          </w:p>
        </w:tc>
      </w:tr>
      <w:tr>
        <w:tc>
          <w:p/>
          <w:p>
            <w:pPr>
              <w:spacing w:after="0" w:before="0" w:lineRule="auto" w:line="276"/>
              <w:jc w:val="left"/>
            </w:pPr>
            <w:r>
              <w:rPr>
                <w:rFonts w:ascii="Times New Roman" w:hAnsi="Times New Roman" w:cs="Times New Roman" w:eastAsia="Times New Roman"/>
                <w:b w:val="false"/>
                <w:sz w:val="26"/>
              </w:rPr>
              <w:t>Trực tiếp</w:t>
            </w:r>
          </w:p>
        </w:tc>
        <w:tc>
          <w:p/>
          <w:p>
            <w:pPr>
              <w:spacing w:after="0" w:before="0" w:lineRule="auto" w:line="276"/>
              <w:jc w:val="left"/>
            </w:pPr>
            <w:r>
              <w:rPr>
                <w:rFonts w:ascii="Times New Roman" w:hAnsi="Times New Roman" w:cs="Times New Roman" w:eastAsia="Times New Roman"/>
                <w:b w:val="false"/>
                <w:sz w:val="26"/>
              </w:rPr>
              <w:t>1 Giờ</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Trực tiếp tại trụ sở của NHCSXH nơi mở               Thẻ tiết kiệm. 
Ngay sau khi NHCSXH nơi thực hiện thủ tục nhận được hồ sơ của khách hàng.</w:t>
            </w:r>
          </w:p>
        </w:tc>
      </w:tr>
    </w:tbl>
    <w:p>
      <w:pPr>
        <w:spacing w:after="0" w:before="240" w:lineRule="auto" w:line="276"/>
        <w:jc w:val="both"/>
      </w:pPr>
      <w:r>
        <w:rPr>
          <w:rFonts w:ascii="Times New Roman" w:hAnsi="Times New Roman" w:cs="Times New Roman" w:eastAsia="Times New Roman"/>
          <w:b w:val="true"/>
          <w:sz w:val="26"/>
        </w:rPr>
        <w:t xml:space="preserve">Thành phần hồ sơ: </w:t>
      </w:r>
    </w:p>
    <w:p>
      <w:pPr>
        <w:shd w:val="clear" w:color="auto" w:fill="F2F6F9"/>
        <w:spacing w:after="0" w:before="120" w:lineRule="auto" w:line="276"/>
        <w:jc w:val="both"/>
      </w:pPr>
      <w:r>
        <w:rPr>
          <w:rFonts w:ascii="Times New Roman" w:hAnsi="Times New Roman" w:cs="Times New Roman" w:eastAsia="Times New Roman"/>
          <w:b w:val="true"/>
          <w:sz w:val="26"/>
        </w:rPr>
        <w:t>Bao gồm</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 Hợp đồng tiền gửi có kỳ hạn bị hỏng (nhàu nát, rách)</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 Giấy báo nhàu nát, rách, mất Hợp đồng tiền gửi có kỳ hạn (mẫu số 04/NHCS-TGCKH</w:t>
            </w:r>
          </w:p>
        </w:tc>
        <w:tc>
          <w:p/>
          <w:p>
            <w:pPr>
              <w:spacing w:after="0" w:before="0" w:lineRule="auto" w:line="276"/>
              <w:jc w:val="left"/>
            </w:pPr>
            <w:r>
              <w:rPr>
                <w:rFonts w:ascii="Times New Roman" w:hAnsi="Times New Roman" w:cs="Times New Roman" w:eastAsia="Times New Roman"/>
                <w:b w:val="false"/>
                <w:sz w:val="26"/>
              </w:rPr>
              <w:t>04NHCS-TGCKH-Gấy báo nhàu nát, rách, mất (3589).doc</w:t>
            </w:r>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 Sổ theo dõi báo nhàu nát, rách, mất Hợp đồng tiền gửi có kỳ hạn (mẫu số 05/NHCS-TGCKH).</w:t>
            </w:r>
          </w:p>
        </w:tc>
        <w:tc>
          <w:p/>
          <w:p>
            <w:pPr>
              <w:spacing w:after="0" w:before="0" w:lineRule="auto" w:line="276"/>
              <w:jc w:val="left"/>
            </w:pPr>
            <w:r>
              <w:rPr>
                <w:rFonts w:ascii="Times New Roman" w:hAnsi="Times New Roman" w:cs="Times New Roman" w:eastAsia="Times New Roman"/>
                <w:b w:val="false"/>
                <w:sz w:val="26"/>
              </w:rPr>
              <w:t>05 NHCS-TGCKH-Sổ theo dõi nhàu nát, rách, mất  (3589).doc</w:t>
            </w:r>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 Khách hàng là cá nhân:</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 Giấy chứng minh nhân dân hoặc Thẻ căn cước công dân hoặc Hộ chiếu còn thời hạn hiệu lực hoặc Giấy khai sinh của cá nhân chưa đủ 14 tuổi (01 bản chính).</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 Thị thực hoặc các giấy tờ khác xác định thời hạn được phép cư trú của cá nhân tại Việt Nam do cơ quan có thẩm quyền của Việt Nam cấp còn thời hạn hiệu lực (nếu có) (01 bản chính).</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 Khách hàng thực hiện thông qua người đại diện theo pháp luật: Giấy chứng minh nhân dân hoặc Thẻ căn cước công dân hoặc Hộ chiếu còn thời hạn hiệu lực của người đại diện theo pháp luật của khách hàng (01 bản chính)</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 Khách hàng là tổ chức: Quyết định thành lập hoặc Giấy phép hoạt động hoặc Giấy chứng nhận đăng ký doanh nghiệp hoặc Giấy chứng nhận đăng ký kinh doanh hoặc các giấy tờ khác tương đương theo quy định của pháp luật (01 bản chính hoặc bản sao có công chứng hoặc chứng thực).</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bl>
    <w:p>
      <w:pPr>
        <w:spacing w:after="0" w:before="240" w:lineRule="auto" w:line="276"/>
        <w:jc w:val="both"/>
      </w:pPr>
      <w:r>
        <w:rPr>
          <w:rFonts w:ascii="Times New Roman" w:hAnsi="Times New Roman" w:cs="Times New Roman" w:eastAsia="Times New Roman"/>
          <w:b w:val="true"/>
          <w:sz w:val="26"/>
        </w:rPr>
        <w:t xml:space="preserve">Đối tượng thực hiện: </w:t>
      </w:r>
      <w:r>
        <w:rPr>
          <w:rFonts w:ascii="Times New Roman" w:hAnsi="Times New Roman" w:cs="Times New Roman" w:eastAsia="Times New Roman"/>
          <w:b w:val="false"/>
          <w:sz w:val="26"/>
        </w:rPr>
        <w:t>Công dân Việt Nam</w:t>
      </w:r>
    </w:p>
    <w:p>
      <w:pPr>
        <w:spacing w:after="0" w:before="0" w:lineRule="auto" w:line="276"/>
        <w:jc w:val="both"/>
      </w:pPr>
      <w:r>
        <w:rPr>
          <w:rFonts w:ascii="Times New Roman" w:hAnsi="Times New Roman" w:cs="Times New Roman" w:eastAsia="Times New Roman"/>
          <w:b w:val="true"/>
          <w:sz w:val="26"/>
        </w:rPr>
        <w:t xml:space="preserve">Cơ quan thực hiện: </w:t>
      </w:r>
      <w:r>
        <w:rPr>
          <w:rFonts w:ascii="Times New Roman" w:hAnsi="Times New Roman" w:cs="Times New Roman" w:eastAsia="Times New Roman"/>
          <w:b w:val="false"/>
          <w:sz w:val="26"/>
        </w:rPr>
        <w:t>Ngân hàng Chính sách xã hội</w:t>
      </w:r>
    </w:p>
    <w:p>
      <w:pPr>
        <w:spacing w:after="0" w:before="0" w:lineRule="auto" w:line="276"/>
        <w:jc w:val="both"/>
      </w:pPr>
      <w:r>
        <w:rPr>
          <w:rFonts w:ascii="Times New Roman" w:hAnsi="Times New Roman" w:cs="Times New Roman" w:eastAsia="Times New Roman"/>
          <w:b w:val="true"/>
          <w:sz w:val="26"/>
        </w:rPr>
        <w:t xml:space="preserve">Cơ quan có thẩm quyền: </w:t>
      </w:r>
      <w:r>
        <w:rPr>
          <w:rFonts w:ascii="Times New Roman" w:hAnsi="Times New Roman" w:cs="Times New Roman" w:eastAsia="Times New Roman"/>
          <w:b w:val="false"/>
          <w:sz w:val="26"/>
        </w:rPr>
        <w:t>Ngân hàng Chính sách xã hội</w:t>
      </w:r>
    </w:p>
    <w:p>
      <w:pPr>
        <w:spacing w:after="0" w:before="0" w:lineRule="auto" w:line="276"/>
        <w:jc w:val="both"/>
      </w:pPr>
      <w:r>
        <w:rPr>
          <w:rFonts w:ascii="Times New Roman" w:hAnsi="Times New Roman" w:cs="Times New Roman" w:eastAsia="Times New Roman"/>
          <w:b w:val="true"/>
          <w:sz w:val="26"/>
        </w:rPr>
        <w:t xml:space="preserve">Địa chỉ tiếp nhận HS: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được ủy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phối hợp: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Kết quả thực hiện: </w:t>
      </w:r>
      <w:r>
        <w:rPr>
          <w:rFonts w:ascii="Times New Roman" w:hAnsi="Times New Roman" w:cs="Times New Roman" w:eastAsia="Times New Roman"/>
          <w:b w:val="false"/>
          <w:sz w:val="26"/>
        </w:rPr>
        <w:t>Bản sao Hợp đồng tiền gửi có kỳ hạn.</w:t>
      </w:r>
    </w:p>
    <w:p>
      <w:pPr>
        <w:spacing w:after="0" w:before="0" w:lineRule="auto" w:line="276"/>
        <w:jc w:val="both"/>
      </w:pPr>
      <w:r>
        <w:rPr>
          <w:rFonts w:ascii="Times New Roman" w:hAnsi="Times New Roman" w:cs="Times New Roman" w:eastAsia="Times New Roman"/>
          <w:b w:val="true"/>
          <w:sz w:val="26"/>
        </w:rPr>
        <w:t xml:space="preserve">Căn cứ pháp lý: </w:t>
      </w:r>
    </w:p>
    <w:tbl>
      <w:tblPr>
        <w:tblW w:w="0" w:type="auto"/>
        <w:tblBorders>
          <w:top w:val="single"/>
          <w:left w:val="single"/>
          <w:bottom w:val="single"/>
          <w:right w:val="single"/>
          <w:insideH w:val="single"/>
          <w:insideV w:val="single"/>
        </w:tblBorders>
      </w:tblPr>
      <w:tr>
        <w:tc>
          <w:tcPr>
            <w:tcW w:w="2000"/>
          </w:tcPr>
          <w:p/>
          <w:p>
            <w:pPr>
              <w:spacing w:after="0" w:before="0" w:lineRule="auto" w:line="276"/>
              <w:jc w:val="center"/>
            </w:pPr>
            <w:r>
              <w:rPr>
                <w:rFonts w:ascii="Times New Roman" w:hAnsi="Times New Roman" w:cs="Times New Roman" w:eastAsia="Times New Roman"/>
                <w:b w:val="true"/>
                <w:sz w:val="26"/>
              </w:rPr>
              <w:t>Số ký hiệu</w:t>
            </w:r>
          </w:p>
        </w:tc>
        <w:tc>
          <w:tcPr>
            <w:tcW w:w="3500"/>
          </w:tcPr>
          <w:p/>
          <w:p>
            <w:pPr>
              <w:spacing w:after="0" w:before="0" w:lineRule="auto" w:line="276"/>
              <w:jc w:val="center"/>
            </w:pPr>
            <w:r>
              <w:rPr>
                <w:rFonts w:ascii="Times New Roman" w:hAnsi="Times New Roman" w:cs="Times New Roman" w:eastAsia="Times New Roman"/>
                <w:b w:val="true"/>
                <w:sz w:val="26"/>
              </w:rPr>
              <w:t>Trích yếu</w:t>
            </w:r>
          </w:p>
        </w:tc>
        <w:tc>
          <w:tcPr>
            <w:tcW w:w="1500"/>
          </w:tcPr>
          <w:p/>
          <w:p>
            <w:pPr>
              <w:spacing w:after="0" w:before="0" w:lineRule="auto" w:line="276"/>
              <w:jc w:val="center"/>
            </w:pPr>
            <w:r>
              <w:rPr>
                <w:rFonts w:ascii="Times New Roman" w:hAnsi="Times New Roman" w:cs="Times New Roman" w:eastAsia="Times New Roman"/>
                <w:b w:val="true"/>
                <w:sz w:val="26"/>
              </w:rPr>
              <w:t>Ngày ban hành</w:t>
            </w:r>
          </w:p>
        </w:tc>
        <w:tc>
          <w:tcPr>
            <w:tcW w:w="3000"/>
          </w:tcPr>
          <w:p/>
          <w:p>
            <w:pPr>
              <w:spacing w:after="0" w:before="0" w:lineRule="auto" w:line="276"/>
              <w:jc w:val="center"/>
            </w:pPr>
            <w:r>
              <w:rPr>
                <w:rFonts w:ascii="Times New Roman" w:hAnsi="Times New Roman" w:cs="Times New Roman" w:eastAsia="Times New Roman"/>
                <w:b w:val="true"/>
                <w:sz w:val="26"/>
              </w:rPr>
              <w:t>Cơ quan ban hành</w:t>
            </w:r>
          </w:p>
        </w:tc>
      </w:tr>
      <w:tr>
        <w:tc>
          <w:p/>
          <w:p>
            <w:pPr>
              <w:spacing w:after="0" w:before="0" w:lineRule="auto" w:line="276"/>
              <w:jc w:val="left"/>
            </w:pPr>
            <w:r>
              <w:rPr>
                <w:rFonts w:ascii="Times New Roman" w:hAnsi="Times New Roman" w:cs="Times New Roman" w:eastAsia="Times New Roman"/>
                <w:b w:val="false"/>
                <w:sz w:val="26"/>
              </w:rPr>
              <w:t>	47/2010/QH12</w:t>
            </w:r>
          </w:p>
        </w:tc>
        <w:tc>
          <w:p/>
          <w:p>
            <w:pPr>
              <w:spacing w:after="0" w:before="0" w:lineRule="auto" w:line="276"/>
              <w:jc w:val="left"/>
            </w:pPr>
            <w:r>
              <w:rPr>
                <w:rFonts w:ascii="Times New Roman" w:hAnsi="Times New Roman" w:cs="Times New Roman" w:eastAsia="Times New Roman"/>
                <w:b w:val="false"/>
                <w:sz w:val="26"/>
              </w:rPr>
              <w:t>Luật 47/2010/QH12</w:t>
            </w:r>
          </w:p>
        </w:tc>
        <w:tc>
          <w:p/>
          <w:p>
            <w:pPr>
              <w:spacing w:after="0" w:before="0" w:lineRule="auto" w:line="276"/>
              <w:jc w:val="left"/>
            </w:pPr>
            <w:r>
              <w:rPr>
                <w:rFonts w:ascii="Times New Roman" w:hAnsi="Times New Roman" w:cs="Times New Roman" w:eastAsia="Times New Roman"/>
                <w:b w:val="false"/>
                <w:sz w:val="26"/>
              </w:rPr>
              <w:t>16-06-2010</w:t>
            </w:r>
          </w:p>
        </w:tc>
        <w:tc>
          <w:p/>
          <w:p>
            <w:pPr>
              <w:spacing w:after="0" w:before="0" w:lineRule="auto" w:line="276"/>
              <w:jc w:val="left"/>
            </w:pPr>
            <w:r>
              <w:rPr>
                <w:rFonts w:ascii="Times New Roman" w:hAnsi="Times New Roman" w:cs="Times New Roman" w:eastAsia="Times New Roman"/>
                <w:b w:val="false"/>
                <w:sz w:val="26"/>
              </w:rPr>
              <w:t>Quốc Hội</w:t>
            </w:r>
          </w:p>
        </w:tc>
      </w:tr>
      <w:tr>
        <w:tc>
          <w:p/>
          <w:p>
            <w:pPr>
              <w:spacing w:after="0" w:before="0" w:lineRule="auto" w:line="276"/>
              <w:jc w:val="left"/>
            </w:pPr>
            <w:r>
              <w:rPr>
                <w:rFonts w:ascii="Times New Roman" w:hAnsi="Times New Roman" w:cs="Times New Roman" w:eastAsia="Times New Roman"/>
                <w:b w:val="false"/>
                <w:sz w:val="26"/>
              </w:rPr>
              <w:t>	78/2002/NĐ-CP</w:t>
            </w:r>
          </w:p>
        </w:tc>
        <w:tc>
          <w:p/>
          <w:p>
            <w:pPr>
              <w:spacing w:after="0" w:before="0" w:lineRule="auto" w:line="276"/>
              <w:jc w:val="left"/>
            </w:pPr>
            <w:r>
              <w:rPr>
                <w:rFonts w:ascii="Times New Roman" w:hAnsi="Times New Roman" w:cs="Times New Roman" w:eastAsia="Times New Roman"/>
                <w:b w:val="false"/>
                <w:sz w:val="26"/>
              </w:rPr>
              <w:t>Nghị định 78/2002/NĐ-CP</w:t>
            </w:r>
          </w:p>
        </w:tc>
        <w:tc>
          <w:p/>
          <w:p>
            <w:pPr>
              <w:spacing w:after="0" w:before="0" w:lineRule="auto" w:line="276"/>
              <w:jc w:val="left"/>
            </w:pPr>
            <w:r>
              <w:rPr>
                <w:rFonts w:ascii="Times New Roman" w:hAnsi="Times New Roman" w:cs="Times New Roman" w:eastAsia="Times New Roman"/>
                <w:b w:val="false"/>
                <w:sz w:val="26"/>
              </w:rPr>
              <w:t>04-10-2002</w:t>
            </w:r>
          </w:p>
        </w:tc>
        <w:tc>
          <w:p/>
          <w:p>
            <w:pPr>
              <w:spacing w:after="0" w:before="0" w:lineRule="auto" w:line="276"/>
              <w:jc w:val="left"/>
            </w:pPr>
            <w:r>
              <w:rPr>
                <w:rFonts w:ascii="Times New Roman" w:hAnsi="Times New Roman" w:cs="Times New Roman" w:eastAsia="Times New Roman"/>
                <w:b w:val="false"/>
                <w:sz w:val="26"/>
              </w:rPr>
              <w:t>Phòng Chính phủ số</w:t>
            </w:r>
          </w:p>
        </w:tc>
      </w:tr>
      <w:tr>
        <w:tc>
          <w:p/>
          <w:p>
            <w:pPr>
              <w:spacing w:after="0" w:before="0" w:lineRule="auto" w:line="276"/>
              <w:jc w:val="left"/>
            </w:pPr>
            <w:r>
              <w:rPr>
                <w:rFonts w:ascii="Times New Roman" w:hAnsi="Times New Roman" w:cs="Times New Roman" w:eastAsia="Times New Roman"/>
                <w:b w:val="false"/>
                <w:sz w:val="26"/>
              </w:rPr>
              <w:t>	91/2015/QH13</w:t>
            </w:r>
          </w:p>
        </w:tc>
        <w:tc>
          <w:p/>
          <w:p>
            <w:pPr>
              <w:spacing w:after="0" w:before="0" w:lineRule="auto" w:line="276"/>
              <w:jc w:val="left"/>
            </w:pPr>
            <w:r>
              <w:rPr>
                <w:rFonts w:ascii="Times New Roman" w:hAnsi="Times New Roman" w:cs="Times New Roman" w:eastAsia="Times New Roman"/>
                <w:b w:val="false"/>
                <w:sz w:val="26"/>
              </w:rPr>
              <w:t>Bộ luật 91/2015/QH13</w:t>
            </w:r>
          </w:p>
        </w:tc>
        <w:tc>
          <w:p/>
          <w:p>
            <w:pPr>
              <w:spacing w:after="0" w:before="0" w:lineRule="auto" w:line="276"/>
              <w:jc w:val="left"/>
            </w:pPr>
            <w:r>
              <w:rPr>
                <w:rFonts w:ascii="Times New Roman" w:hAnsi="Times New Roman" w:cs="Times New Roman" w:eastAsia="Times New Roman"/>
                <w:b w:val="false"/>
                <w:sz w:val="26"/>
              </w:rPr>
              <w:t>24-11-2015</w:t>
            </w:r>
          </w:p>
        </w:tc>
        <w:tc>
          <w:p/>
          <w:p>
            <w:pPr>
              <w:spacing w:after="0" w:before="0" w:lineRule="auto" w:line="276"/>
              <w:jc w:val="left"/>
            </w:pPr>
            <w:r>
              <w:rPr>
                <w:rFonts w:ascii="Times New Roman" w:hAnsi="Times New Roman" w:cs="Times New Roman" w:eastAsia="Times New Roman"/>
                <w:b w:val="false"/>
                <w:sz w:val="26"/>
              </w:rPr>
              <w:t>Quốc Hội</w:t>
            </w:r>
          </w:p>
        </w:tc>
      </w:tr>
      <w:tr>
        <w:tc>
          <w:p/>
          <w:p>
            <w:pPr>
              <w:spacing w:after="0" w:before="0" w:lineRule="auto" w:line="276"/>
              <w:jc w:val="left"/>
            </w:pPr>
            <w:r>
              <w:rPr>
                <w:rFonts w:ascii="Times New Roman" w:hAnsi="Times New Roman" w:cs="Times New Roman" w:eastAsia="Times New Roman"/>
                <w:b w:val="false"/>
                <w:sz w:val="26"/>
              </w:rPr>
              <w:t>16/2003/QĐ-TTg</w:t>
            </w:r>
          </w:p>
        </w:tc>
        <w:tc>
          <w:p/>
          <w:p>
            <w:pPr>
              <w:spacing w:after="0" w:before="0" w:lineRule="auto" w:line="276"/>
              <w:jc w:val="left"/>
            </w:pPr>
            <w:r>
              <w:rPr>
                <w:rFonts w:ascii="Times New Roman" w:hAnsi="Times New Roman" w:cs="Times New Roman" w:eastAsia="Times New Roman"/>
                <w:b w:val="false"/>
                <w:sz w:val="26"/>
              </w:rPr>
              <w:t>16/2003/QĐ-TTg</w:t>
            </w:r>
          </w:p>
        </w:tc>
        <w:tc>
          <w:p/>
          <w:p>
            <w:pPr>
              <w:spacing w:after="0" w:before="0" w:lineRule="auto" w:line="276"/>
              <w:jc w:val="left"/>
            </w:pPr>
            <w:r>
              <w:rPr>
                <w:rFonts w:ascii="Times New Roman" w:hAnsi="Times New Roman" w:cs="Times New Roman" w:eastAsia="Times New Roman"/>
                <w:b w:val="false"/>
                <w:sz w:val="26"/>
              </w:rPr>
              <w:t>22-01-2003</w:t>
            </w:r>
          </w:p>
        </w:tc>
        <w:tc>
          <w:p/>
        </w:tc>
      </w:tr>
      <w:tr>
        <w:tc>
          <w:p/>
          <w:p>
            <w:pPr>
              <w:spacing w:after="0" w:before="0" w:lineRule="auto" w:line="276"/>
              <w:jc w:val="left"/>
            </w:pPr>
            <w:r>
              <w:rPr>
                <w:rFonts w:ascii="Times New Roman" w:hAnsi="Times New Roman" w:cs="Times New Roman" w:eastAsia="Times New Roman"/>
                <w:b w:val="false"/>
                <w:sz w:val="26"/>
              </w:rPr>
              <w:t>	17/2017/QH14</w:t>
            </w:r>
          </w:p>
        </w:tc>
        <w:tc>
          <w:p/>
          <w:p>
            <w:pPr>
              <w:spacing w:after="0" w:before="0" w:lineRule="auto" w:line="276"/>
              <w:jc w:val="left"/>
            </w:pPr>
            <w:r>
              <w:rPr>
                <w:rFonts w:ascii="Times New Roman" w:hAnsi="Times New Roman" w:cs="Times New Roman" w:eastAsia="Times New Roman"/>
                <w:b w:val="false"/>
                <w:sz w:val="26"/>
              </w:rPr>
              <w:t>Luật 17/2017/QH14</w:t>
            </w:r>
          </w:p>
        </w:tc>
        <w:tc>
          <w:p/>
          <w:p>
            <w:pPr>
              <w:spacing w:after="0" w:before="0" w:lineRule="auto" w:line="276"/>
              <w:jc w:val="left"/>
            </w:pPr>
            <w:r>
              <w:rPr>
                <w:rFonts w:ascii="Times New Roman" w:hAnsi="Times New Roman" w:cs="Times New Roman" w:eastAsia="Times New Roman"/>
                <w:b w:val="false"/>
                <w:sz w:val="26"/>
              </w:rPr>
              <w:t>20-11-2017</w:t>
            </w:r>
          </w:p>
        </w:tc>
        <w:tc>
          <w:p/>
          <w:p>
            <w:pPr>
              <w:spacing w:after="0" w:before="0" w:lineRule="auto" w:line="276"/>
              <w:jc w:val="left"/>
            </w:pPr>
            <w:r>
              <w:rPr>
                <w:rFonts w:ascii="Times New Roman" w:hAnsi="Times New Roman" w:cs="Times New Roman" w:eastAsia="Times New Roman"/>
                <w:b w:val="false"/>
                <w:sz w:val="26"/>
              </w:rPr>
              <w:t>Quốc Hội</w:t>
            </w:r>
          </w:p>
        </w:tc>
      </w:tr>
      <w:tr>
        <w:tc>
          <w:p/>
          <w:p>
            <w:pPr>
              <w:spacing w:after="0" w:before="0" w:lineRule="auto" w:line="276"/>
              <w:jc w:val="left"/>
            </w:pPr>
            <w:r>
              <w:rPr>
                <w:rFonts w:ascii="Times New Roman" w:hAnsi="Times New Roman" w:cs="Times New Roman" w:eastAsia="Times New Roman"/>
                <w:b w:val="false"/>
                <w:sz w:val="26"/>
              </w:rPr>
              <w:t>131/2002/QĐ-TTg</w:t>
            </w:r>
          </w:p>
        </w:tc>
        <w:tc>
          <w:p/>
          <w:p>
            <w:pPr>
              <w:spacing w:after="0" w:before="0" w:lineRule="auto" w:line="276"/>
              <w:jc w:val="left"/>
            </w:pPr>
            <w:r>
              <w:rPr>
                <w:rFonts w:ascii="Times New Roman" w:hAnsi="Times New Roman" w:cs="Times New Roman" w:eastAsia="Times New Roman"/>
                <w:b w:val="false"/>
                <w:sz w:val="26"/>
              </w:rPr>
              <w:t>Quyết định 131/2002/QĐ-TTg</w:t>
            </w:r>
          </w:p>
        </w:tc>
        <w:tc>
          <w:p/>
          <w:p>
            <w:pPr>
              <w:spacing w:after="0" w:before="0" w:lineRule="auto" w:line="276"/>
              <w:jc w:val="left"/>
            </w:pPr>
            <w:r>
              <w:rPr>
                <w:rFonts w:ascii="Times New Roman" w:hAnsi="Times New Roman" w:cs="Times New Roman" w:eastAsia="Times New Roman"/>
                <w:b w:val="false"/>
                <w:sz w:val="26"/>
              </w:rPr>
              <w:t>04-10-2002</w:t>
            </w:r>
          </w:p>
        </w:tc>
        <w:tc>
          <w:p/>
          <w:p>
            <w:pPr>
              <w:spacing w:after="0" w:before="0" w:lineRule="auto" w:line="276"/>
              <w:jc w:val="left"/>
            </w:pPr>
            <w:r>
              <w:rPr>
                <w:rFonts w:ascii="Times New Roman" w:hAnsi="Times New Roman" w:cs="Times New Roman" w:eastAsia="Times New Roman"/>
                <w:b w:val="false"/>
                <w:sz w:val="26"/>
              </w:rPr>
              <w:t>Thủ tướng Chính phủ</w:t>
            </w:r>
          </w:p>
        </w:tc>
      </w:tr>
      <w:tr>
        <w:tc>
          <w:p/>
          <w:p>
            <w:pPr>
              <w:spacing w:after="0" w:before="0" w:lineRule="auto" w:line="276"/>
              <w:jc w:val="left"/>
            </w:pPr>
            <w:r>
              <w:rPr>
                <w:rFonts w:ascii="Times New Roman" w:hAnsi="Times New Roman" w:cs="Times New Roman" w:eastAsia="Times New Roman"/>
                <w:b w:val="false"/>
                <w:sz w:val="26"/>
              </w:rPr>
              <w:t>28/2005/PL-UBTVQH11</w:t>
            </w:r>
          </w:p>
        </w:tc>
        <w:tc>
          <w:p/>
          <w:p>
            <w:pPr>
              <w:spacing w:after="0" w:before="0" w:lineRule="auto" w:line="276"/>
              <w:jc w:val="left"/>
            </w:pPr>
            <w:r>
              <w:rPr>
                <w:rFonts w:ascii="Times New Roman" w:hAnsi="Times New Roman" w:cs="Times New Roman" w:eastAsia="Times New Roman"/>
                <w:b w:val="false"/>
                <w:sz w:val="26"/>
              </w:rPr>
              <w:t>Pháp lệnh 28/2005/PL-UBTVQH11</w:t>
            </w:r>
          </w:p>
        </w:tc>
        <w:tc>
          <w:p/>
          <w:p>
            <w:pPr>
              <w:spacing w:after="0" w:before="0" w:lineRule="auto" w:line="276"/>
              <w:jc w:val="left"/>
            </w:pPr>
            <w:r>
              <w:rPr>
                <w:rFonts w:ascii="Times New Roman" w:hAnsi="Times New Roman" w:cs="Times New Roman" w:eastAsia="Times New Roman"/>
                <w:b w:val="false"/>
                <w:sz w:val="26"/>
              </w:rPr>
              <w:t>13-12-2005</w:t>
            </w:r>
          </w:p>
        </w:tc>
        <w:tc>
          <w:p/>
          <w:p>
            <w:pPr>
              <w:spacing w:after="0" w:before="0" w:lineRule="auto" w:line="276"/>
              <w:jc w:val="left"/>
            </w:pPr>
            <w:r>
              <w:rPr>
                <w:rFonts w:ascii="Times New Roman" w:hAnsi="Times New Roman" w:cs="Times New Roman" w:eastAsia="Times New Roman"/>
                <w:b w:val="false"/>
                <w:sz w:val="26"/>
              </w:rPr>
              <w:t>Ủy ban thường vụ quốc hội</w:t>
            </w:r>
          </w:p>
        </w:tc>
      </w:tr>
      <w:tr>
        <w:tc>
          <w:p/>
          <w:p>
            <w:pPr>
              <w:spacing w:after="0" w:before="0" w:lineRule="auto" w:line="276"/>
              <w:jc w:val="left"/>
            </w:pPr>
            <w:r>
              <w:rPr>
                <w:rFonts w:ascii="Times New Roman" w:hAnsi="Times New Roman" w:cs="Times New Roman" w:eastAsia="Times New Roman"/>
                <w:b w:val="false"/>
                <w:sz w:val="26"/>
              </w:rPr>
              <w:t>06/2013/UBTVQH13</w:t>
            </w:r>
          </w:p>
        </w:tc>
        <w:tc>
          <w:p/>
          <w:p>
            <w:pPr>
              <w:spacing w:after="0" w:before="0" w:lineRule="auto" w:line="276"/>
              <w:jc w:val="left"/>
            </w:pPr>
            <w:r>
              <w:rPr>
                <w:rFonts w:ascii="Times New Roman" w:hAnsi="Times New Roman" w:cs="Times New Roman" w:eastAsia="Times New Roman"/>
                <w:b w:val="false"/>
                <w:sz w:val="26"/>
              </w:rPr>
              <w:t>Pháp lệnh 06/2013/UBTVQH13</w:t>
            </w:r>
          </w:p>
        </w:tc>
        <w:tc>
          <w:p/>
          <w:p>
            <w:pPr>
              <w:spacing w:after="0" w:before="0" w:lineRule="auto" w:line="276"/>
              <w:jc w:val="left"/>
            </w:pPr>
            <w:r>
              <w:rPr>
                <w:rFonts w:ascii="Times New Roman" w:hAnsi="Times New Roman" w:cs="Times New Roman" w:eastAsia="Times New Roman"/>
                <w:b w:val="false"/>
                <w:sz w:val="26"/>
              </w:rPr>
              <w:t>18-03-2013</w:t>
            </w:r>
          </w:p>
        </w:tc>
        <w:tc>
          <w:p/>
          <w:p>
            <w:pPr>
              <w:spacing w:after="0" w:before="0" w:lineRule="auto" w:line="276"/>
              <w:jc w:val="left"/>
            </w:pPr>
            <w:r>
              <w:rPr>
                <w:rFonts w:ascii="Times New Roman" w:hAnsi="Times New Roman" w:cs="Times New Roman" w:eastAsia="Times New Roman"/>
                <w:b w:val="false"/>
                <w:sz w:val="26"/>
              </w:rPr>
              <w:t>Ủy ban thường vụ quốc hội</w:t>
            </w:r>
          </w:p>
        </w:tc>
      </w:tr>
      <w:tr>
        <w:tc>
          <w:p/>
          <w:p>
            <w:pPr>
              <w:spacing w:after="0" w:before="0" w:lineRule="auto" w:line="276"/>
              <w:jc w:val="left"/>
            </w:pPr>
            <w:r>
              <w:rPr>
                <w:rFonts w:ascii="Times New Roman" w:hAnsi="Times New Roman" w:cs="Times New Roman" w:eastAsia="Times New Roman"/>
                <w:b w:val="false"/>
                <w:sz w:val="26"/>
              </w:rPr>
              <w:t>49/2018/TT-NHNN</w:t>
            </w:r>
          </w:p>
        </w:tc>
        <w:tc>
          <w:p/>
          <w:p>
            <w:pPr>
              <w:spacing w:after="0" w:before="0" w:lineRule="auto" w:line="276"/>
              <w:jc w:val="left"/>
            </w:pPr>
            <w:r>
              <w:rPr>
                <w:rFonts w:ascii="Times New Roman" w:hAnsi="Times New Roman" w:cs="Times New Roman" w:eastAsia="Times New Roman"/>
                <w:b w:val="false"/>
                <w:sz w:val="26"/>
              </w:rPr>
              <w:t>Thông tư 49/2018/TT-NHNN</w:t>
            </w:r>
          </w:p>
        </w:tc>
        <w:tc>
          <w:p/>
          <w:p>
            <w:pPr>
              <w:spacing w:after="0" w:before="0" w:lineRule="auto" w:line="276"/>
              <w:jc w:val="left"/>
            </w:pPr>
            <w:r>
              <w:rPr>
                <w:rFonts w:ascii="Times New Roman" w:hAnsi="Times New Roman" w:cs="Times New Roman" w:eastAsia="Times New Roman"/>
                <w:b w:val="false"/>
                <w:sz w:val="26"/>
              </w:rPr>
              <w:t>31-12-2018</w:t>
            </w:r>
          </w:p>
        </w:tc>
        <w:tc>
          <w:p/>
          <w:p>
            <w:pPr>
              <w:spacing w:after="0" w:before="0" w:lineRule="auto" w:line="276"/>
              <w:jc w:val="left"/>
            </w:pPr>
            <w:r>
              <w:rPr>
                <w:rFonts w:ascii="Times New Roman" w:hAnsi="Times New Roman" w:cs="Times New Roman" w:eastAsia="Times New Roman"/>
                <w:b w:val="false"/>
                <w:sz w:val="26"/>
              </w:rPr>
              <w:t>Ngân hàng Nhà nước Việt Nam</w:t>
            </w:r>
          </w:p>
        </w:tc>
      </w:tr>
      <w:tr>
        <w:tc>
          <w:p/>
          <w:p>
            <w:pPr>
              <w:spacing w:after="0" w:before="0" w:lineRule="auto" w:line="276"/>
              <w:jc w:val="left"/>
            </w:pPr>
            <w:r>
              <w:rPr>
                <w:rFonts w:ascii="Times New Roman" w:hAnsi="Times New Roman" w:cs="Times New Roman" w:eastAsia="Times New Roman"/>
                <w:b w:val="false"/>
                <w:sz w:val="26"/>
              </w:rPr>
              <w:t>3589/NHCS-KHNV</w:t>
            </w:r>
          </w:p>
        </w:tc>
        <w:tc>
          <w:p/>
          <w:p>
            <w:pPr>
              <w:spacing w:after="0" w:before="0" w:lineRule="auto" w:line="276"/>
              <w:jc w:val="left"/>
            </w:pPr>
            <w:r>
              <w:rPr>
                <w:rFonts w:ascii="Times New Roman" w:hAnsi="Times New Roman" w:cs="Times New Roman" w:eastAsia="Times New Roman"/>
                <w:b w:val="false"/>
                <w:sz w:val="26"/>
              </w:rPr>
              <w:t>Công văn số 3589/NHCS-KHNV V/v hướng dẫn tiền gửi có kỳ hạn tại Ngân hàng Chính sách xã hội</w:t>
            </w:r>
          </w:p>
        </w:tc>
        <w:tc>
          <w:p/>
          <w:p>
            <w:pPr>
              <w:spacing w:after="0" w:before="0" w:lineRule="auto" w:line="276"/>
              <w:jc w:val="left"/>
            </w:pPr>
            <w:r>
              <w:rPr>
                <w:rFonts w:ascii="Times New Roman" w:hAnsi="Times New Roman" w:cs="Times New Roman" w:eastAsia="Times New Roman"/>
                <w:b w:val="false"/>
                <w:sz w:val="26"/>
              </w:rPr>
              <w:t>11-06-2019</w:t>
            </w:r>
          </w:p>
        </w:tc>
        <w:tc>
          <w:p/>
          <w:p>
            <w:pPr>
              <w:spacing w:after="0" w:before="0" w:lineRule="auto" w:line="276"/>
              <w:jc w:val="left"/>
            </w:pPr>
            <w:r>
              <w:rPr>
                <w:rFonts w:ascii="Times New Roman" w:hAnsi="Times New Roman" w:cs="Times New Roman" w:eastAsia="Times New Roman"/>
                <w:b w:val="false"/>
                <w:sz w:val="26"/>
              </w:rPr>
              <w:t>Ngân hàng Chính sách xã hội</w:t>
            </w:r>
          </w:p>
        </w:tc>
      </w:tr>
    </w:tbl>
    <w:p>
      <w:pPr>
        <w:spacing w:after="0" w:before="240" w:lineRule="auto" w:line="276"/>
        <w:jc w:val="both"/>
      </w:pPr>
      <w:r>
        <w:rPr>
          <w:rFonts w:ascii="Times New Roman" w:hAnsi="Times New Roman" w:cs="Times New Roman" w:eastAsia="Times New Roman"/>
          <w:b w:val="true"/>
          <w:sz w:val="26"/>
        </w:rPr>
        <w:t xml:space="preserve">Yêu cầu, điều kiện thực hiện: </w:t>
      </w:r>
      <w:r>
        <w:rPr>
          <w:rFonts w:ascii="Times New Roman" w:hAnsi="Times New Roman" w:cs="Times New Roman" w:eastAsia="Times New Roman"/>
          <w:b w:val="false"/>
          <w:sz w:val="26"/>
        </w:rPr>
        <w:t>- Hợp đồng tiền gửi có kỳ hạn của khách hàng bị mất, hỏng (nhàu nát, rách);
- NHCSXH chỉ thực hiện cấp bản sao Hợp đồng tiền gửi có kỳ hạn khi các thông tin trên Hợp đồng được xác định đúng, đầy đủ và khoản tiền gửi có kỳ hạn không có tranh chấp, khiếu kiện.</w:t>
      </w:r>
    </w:p>
    <w:p>
      <w:pPr>
        <w:spacing w:after="0" w:before="0" w:lineRule="auto" w:line="276"/>
        <w:jc w:val="both"/>
      </w:pPr>
      <w:r>
        <w:rPr>
          <w:rFonts w:ascii="Times New Roman" w:hAnsi="Times New Roman" w:cs="Times New Roman" w:eastAsia="Times New Roman"/>
          <w:b w:val="true"/>
          <w:sz w:val="26"/>
        </w:rPr>
        <w:t xml:space="preserve">Từ khóa: </w:t>
      </w:r>
      <w:r>
        <w:rPr>
          <w:rFonts w:ascii="Times New Roman" w:hAnsi="Times New Roman" w:cs="Times New Roman" w:eastAsia="Times New Roman"/>
          <w:b w:val="false"/>
          <w:sz w:val="26"/>
        </w:rPr>
        <w:t>tiền gửi có kỳ hạn</w:t>
      </w:r>
    </w:p>
    <w:p>
      <w:pPr>
        <w:spacing w:after="0" w:before="0" w:lineRule="auto" w:line="276"/>
        <w:jc w:val="both"/>
      </w:pPr>
      <w:r>
        <w:rPr>
          <w:rFonts w:ascii="Times New Roman" w:hAnsi="Times New Roman" w:cs="Times New Roman" w:eastAsia="Times New Roman"/>
          <w:b w:val="true"/>
          <w:sz w:val="26"/>
        </w:rPr>
        <w:t xml:space="preserve">Mô tả: </w:t>
      </w:r>
      <w:r>
        <w:rPr>
          <w:rFonts w:ascii="Times New Roman" w:hAnsi="Times New Roman" w:cs="Times New Roman" w:eastAsia="Times New Roman"/>
          <w:b w:val="false"/>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https://thutuc.dichvucong.gov.vn/p/home/dvc-tthc-thu-tuc-hanh-chinh-chi-tiet.html?ma_thu_tuc=1478</w:t>
      </w:r>
    </w:p>
    <w:sectPr>
      <w:pgMar w:left="1702" w:top="1137" w:right="1137" w:bottom="1137"/>
    </w:sectPr>
  </w:body>
</w:document>
</file>

<file path=word/settings.xml><?xml version="1.0" encoding="utf-8"?>
<w:settings xmlns:w="http://schemas.openxmlformats.org/wordprocessingml/2006/main"/>
</file>

<file path=word/_rels/document.xml.rels><?xml version='1.0' encoding='UTF-8' standalone='yes'?>
<Relationships xmlns="http://schemas.openxmlformats.org/package/2006/relationships"><Relationship Id="rId1" Type="http://schemas.openxmlformats.org/officeDocument/2006/relationships/settings" Target="setting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2025-11-27T16:30:25Z</dcterms:created>
  <dc:creator>Apache POI</dc:creator>
</cp:coreProperties>
</file>