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điều chỉnh, thay đổi nội dung đề án thực hiện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Đơn vị chủ trì thực hiện gửi hồ sơ điều chỉnh, thay đổi nội dung đề án thực hiện Chương trình đến Bộ Công Thương (tối thiểu 15 ngày trước ngày đầu tiên diễn ra hoạt động xúc tiến thương mại).</w:t>
      </w:r>
    </w:p>
    <w:p>
      <w:pPr>
        <w:spacing w:after="0" w:before="0" w:lineRule="auto" w:line="276"/>
        <w:jc w:val="both"/>
      </w:pPr>
      <w:r>
        <w:rPr>
          <w:rFonts w:ascii="Times New Roman" w:hAnsi="Times New Roman" w:cs="Times New Roman" w:eastAsia="Times New Roman"/>
          <w:b w:val="false"/>
          <w:sz w:val="26"/>
        </w:rPr>
        <w:t>- Bộ Công Thương phê duyệt hoặc không phê duyệt về việc điều chỉnh, thay đổi các nội dung đề 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 điều chỉnh, thay đổi nội dung đề án thực hiện Chương trình cấp quốc gia về xúc tiến thương mại, Văn bản không phê duyệt điều chỉnh, thay đổi nội dung đề án thực hiện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2025-11-27T16:30:35Z</dcterms:created>
  <dc:creator>Apache POI</dc:creator>
</cp:coreProperties>
</file>