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3596/QĐ-NHCS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chi trả tiền gửi tiết kiệm theo ủy quyền của người gửi tiền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được ủy quyền rút tiền xuất trình hồ sơ theo quy định.</w:t>
      </w:r>
    </w:p>
    <w:p>
      <w:pPr>
        <w:spacing w:after="0" w:before="0" w:lineRule="auto" w:line="276"/>
        <w:jc w:val="both"/>
      </w:pPr>
      <w:r>
        <w:rPr>
          <w:rFonts w:ascii="Times New Roman" w:hAnsi="Times New Roman" w:cs="Times New Roman" w:eastAsia="Times New Roman"/>
          <w:b w:val="false"/>
          <w:sz w:val="26"/>
        </w:rPr>
        <w:t>- Người được ủy quyền lập Giấy rút tiền.</w:t>
      </w:r>
    </w:p>
    <w:p>
      <w:pPr>
        <w:spacing w:after="0" w:before="0" w:lineRule="auto" w:line="276"/>
        <w:jc w:val="both"/>
      </w:pPr>
      <w:r>
        <w:rPr>
          <w:rFonts w:ascii="Times New Roman" w:hAnsi="Times New Roman" w:cs="Times New Roman" w:eastAsia="Times New Roman"/>
          <w:b w:val="false"/>
          <w:sz w:val="26"/>
        </w:rPr>
        <w:t>- NHCSXH kiểm tra hồ sơ, chữ ký đảm bảo đúng, đủ theo quy định.</w:t>
      </w:r>
    </w:p>
    <w:p>
      <w:pPr>
        <w:spacing w:after="0" w:before="0" w:lineRule="auto" w:line="276"/>
        <w:jc w:val="both"/>
      </w:pPr>
      <w:r>
        <w:rPr>
          <w:rFonts w:ascii="Times New Roman" w:hAnsi="Times New Roman" w:cs="Times New Roman" w:eastAsia="Times New Roman"/>
          <w:b w:val="false"/>
          <w:sz w:val="26"/>
        </w:rPr>
        <w:t>- NHCSXH chi trả tiền gửi cho Người được ủy quyền rút tiền.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sau khi NHCSXH nơi thực hiện thủ tục nhận được hồ sơ của khách hàng.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trụ sở của NHCSXH hoặc tại địa điểm giao dịch hợp pháp của NHCSXH mở Thẻ tiết kiệm.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Thẻ tiết kiệm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rút tiền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ủy quyền (01 bản chính có công chứng hoặc chứng thực lưu ngân hàng).</w:t>
            </w:r>
          </w:p>
        </w:tc>
        <w:tc>
          <w:p/>
          <w:p>
            <w:pPr>
              <w:spacing w:after="0" w:before="0" w:lineRule="auto" w:line="276"/>
              <w:jc w:val="left"/>
            </w:pPr>
            <w:r>
              <w:rPr>
                <w:rFonts w:ascii="Times New Roman" w:hAnsi="Times New Roman" w:cs="Times New Roman" w:eastAsia="Times New Roman"/>
                <w:b w:val="false"/>
                <w:sz w:val="26"/>
              </w:rPr>
              <w:t>01-NHCS-TGTK (Giấy ủy quyền).docx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minh nhân dân hoặc Thẻ căn cước công dân hoặc Hộ chiếu còn thời hạn hiệu lực của người được ủy quyền (01 bản chính để đối chiếu và 01 bản sao có công chứng hoặc chứng thực để lưu tại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Chi trả tiền gửi tiết kiệm cho người được ủy quyền.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131/2002/QĐ-TTg</w:t>
            </w:r>
          </w:p>
        </w:tc>
        <w:tc>
          <w:p/>
          <w:p>
            <w:pPr>
              <w:spacing w:after="0" w:before="0" w:lineRule="auto" w:line="276"/>
              <w:jc w:val="left"/>
            </w:pPr>
            <w:r>
              <w:rPr>
                <w:rFonts w:ascii="Times New Roman" w:hAnsi="Times New Roman" w:cs="Times New Roman" w:eastAsia="Times New Roman"/>
                <w:b w:val="false"/>
                <w:sz w:val="26"/>
              </w:rPr>
              <w:t>Về việc thành lập Ngân hàng Chính sách xã hội</w:t>
            </w:r>
          </w:p>
        </w:tc>
        <w:tc>
          <w:p/>
          <w:p>
            <w:pPr>
              <w:spacing w:after="0" w:before="0" w:lineRule="auto" w:line="276"/>
              <w:jc w:val="left"/>
            </w:pPr>
            <w:r>
              <w:rPr>
                <w:rFonts w:ascii="Times New Roman" w:hAnsi="Times New Roman" w:cs="Times New Roman" w:eastAsia="Times New Roman"/>
                <w:b w:val="false"/>
                <w:sz w:val="26"/>
              </w:rPr>
              <w:t>04-10-2002</w:t>
            </w:r>
          </w:p>
        </w:tc>
        <w:tc>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Về việc phê duyệt Điều lệ về tổ chức và hoạt động của Ngân hàng Chính sách xã hội</w:t>
            </w:r>
          </w:p>
        </w:tc>
        <w:tc>
          <w:p/>
          <w:p>
            <w:pPr>
              <w:spacing w:after="0" w:before="0" w:lineRule="auto" w:line="276"/>
              <w:jc w:val="left"/>
            </w:pPr>
            <w:r>
              <w:rPr>
                <w:rFonts w:ascii="Times New Roman" w:hAnsi="Times New Roman" w:cs="Times New Roman" w:eastAsia="Times New Roman"/>
                <w:b w:val="false"/>
                <w:sz w:val="26"/>
              </w:rPr>
              <w:t>27-08-2019</w:t>
            </w:r>
          </w:p>
        </w:tc>
        <w:tc>
          <w:p/>
        </w:tc>
      </w:tr>
      <w:tr>
        <w:tc>
          <w:p/>
          <w:p>
            <w:pPr>
              <w:spacing w:after="0" w:before="0" w:lineRule="auto" w:line="276"/>
              <w:jc w:val="left"/>
            </w:pPr>
            <w:r>
              <w:rPr>
                <w:rFonts w:ascii="Times New Roman" w:hAnsi="Times New Roman" w:cs="Times New Roman" w:eastAsia="Times New Roman"/>
                <w:b w:val="false"/>
                <w:sz w:val="26"/>
              </w:rPr>
              <w:t>48 /2018/TT-NHNN</w:t>
            </w:r>
          </w:p>
        </w:tc>
        <w:tc>
          <w:p/>
          <w:p>
            <w:pPr>
              <w:spacing w:after="0" w:before="0" w:lineRule="auto" w:line="276"/>
              <w:jc w:val="left"/>
            </w:pPr>
            <w:r>
              <w:rPr>
                <w:rFonts w:ascii="Times New Roman" w:hAnsi="Times New Roman" w:cs="Times New Roman" w:eastAsia="Times New Roman"/>
                <w:b w:val="false"/>
                <w:sz w:val="26"/>
              </w:rPr>
              <w:t>Quy định về tiền gửi tiết kiệm</w:t>
            </w:r>
          </w:p>
        </w:tc>
        <w:tc>
          <w:p/>
          <w:p>
            <w:pPr>
              <w:spacing w:after="0" w:before="0" w:lineRule="auto" w:line="276"/>
              <w:jc w:val="left"/>
            </w:pPr>
            <w:r>
              <w:rPr>
                <w:rFonts w:ascii="Times New Roman" w:hAnsi="Times New Roman" w:cs="Times New Roman" w:eastAsia="Times New Roman"/>
                <w:b w:val="false"/>
                <w:sz w:val="26"/>
              </w:rPr>
              <w:t>31-12-2018</w:t>
            </w:r>
          </w:p>
        </w:tc>
        <w:tc>
          <w:p/>
        </w:tc>
      </w:tr>
      <w:tr>
        <w:tc>
          <w:p/>
          <w:p>
            <w:pPr>
              <w:spacing w:after="0" w:before="0" w:lineRule="auto" w:line="276"/>
              <w:jc w:val="left"/>
            </w:pPr>
            <w:r>
              <w:rPr>
                <w:rFonts w:ascii="Times New Roman" w:hAnsi="Times New Roman" w:cs="Times New Roman" w:eastAsia="Times New Roman"/>
                <w:b w:val="false"/>
                <w:sz w:val="26"/>
              </w:rPr>
              <w:t>3579/NHCS-KHNV</w:t>
            </w:r>
          </w:p>
        </w:tc>
        <w:tc>
          <w:p/>
          <w:p>
            <w:pPr>
              <w:spacing w:after="0" w:before="0" w:lineRule="auto" w:line="276"/>
              <w:jc w:val="left"/>
            </w:pPr>
            <w:r>
              <w:rPr>
                <w:rFonts w:ascii="Times New Roman" w:hAnsi="Times New Roman" w:cs="Times New Roman" w:eastAsia="Times New Roman"/>
                <w:b w:val="false"/>
                <w:sz w:val="26"/>
              </w:rPr>
              <w:t>hướng dẫn tiền gửi tiết kiệm tại Ngân hàng Chính sách xã hội</w:t>
            </w:r>
          </w:p>
        </w:tc>
        <w:tc>
          <w:p/>
          <w:p>
            <w:pPr>
              <w:spacing w:after="0" w:before="0" w:lineRule="auto" w:line="276"/>
              <w:jc w:val="left"/>
            </w:pPr>
            <w:r>
              <w:rPr>
                <w:rFonts w:ascii="Times New Roman" w:hAnsi="Times New Roman" w:cs="Times New Roman" w:eastAsia="Times New Roman"/>
                <w:b w:val="false"/>
                <w:sz w:val="26"/>
              </w:rPr>
              <w:t>10-06-2019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Trường hợp người ủy quyền là người gửi tiền tiết kiệm chung, giấy ủy quyền phải có xác nhận của tất cả người gửi tiền tiết kiệm;
- Chữ ký của người ủy quyền phải khớp đúng với chữ ký mẫu đã lưu tại NHCSXH; Chữ ký của người được ủy quyền trên chứng từ giao dịch phải đúng với chữ ký trên Giấy ủy quyền;
- Thông tin trên Giấy tờ chứng minh nhân thân của người được ủy quyền phải khớp đúng thông tin kê khai trên Giấy Ủy quyền
- Giấy ủy quyền phải có xác nhận và đóng dấu của cơ quan có thẩm quyền theo quy định của pháp luật.
- Tài khoản tiền gửi tiết kiệm của người ủy quyền không bị phong tỏa.
- Thẻ tiết kiệm không trong thời gian theo dõi báo mất,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2025-11-27T16:30:38Z</dcterms:created>
  <dc:creator>Apache POI</dc:creator>
</cp:coreProperties>
</file>