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3520/QĐ-BVHTTDL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đủ điều kiện kinh doanh dịch vụ vũ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hoặc hộ kinh doanh có địa điểm kinh doanh dịch vụ vũ trường trên địa bàn gửi trực tiếp hoặc qua bưu chính hoặc qua môi trường điện tử 01 bộ hồ sơ theo quy định đến Sở Văn hóa, Thể thao và Du lịch/Sở Văn hóa và Thể thao (gọi chung là cơ quan tiếp nhận).
- Trường hợp hồ sơ chưa đúng quy định, trong thời hạn 01 ngày làm việc kể từ ngày nhận hồ sơ, cơ quan tiếp nhận hồ sơ có văn bản thông báo yêu cầu hoàn thiện hồ sơ.
- Trường hợp hồ sơ đầy đủ theo quy định, trong thời hạn 03 ngày làm việc kể từ ngày nhận hồ sơ, cơ quan tiếp nhận thẩm định hồ sơ, báo cáo Ủy ban nhân dân cấp tỉnh thành lập Đoàn thẩm định thực tế tại địa điểm kinh doanh dịch vụ vũ trường (sau đây gọi là Đoàn thẩm định) về các điều kiện kinh doanh theo quy định để tư vấn cho cơ quan có thẩm quyền cấp Giấy phép đủ điều kiện kinh doanh quyết định cấp hoặc không cấp Giấy phép. Thành phần Đoàn thẩm định không quá 07 thành viên, gồm đại diện các cơ quan: Công an, Văn hóa, Xây dựng và các cơ quan khác có liên quan.
- Trong thời hạn 04 ngày làm việc kể từ ngày thành lập, Đoàn thẩm định tổ chức thẩm định và ban hành kết quả thẩm định theo mẫu quy định.
- Trong thời hạn 03 ngày làm việc kể từ ngày có kết quả thẩm định, UBND cấp tỉnh có trách nhiệm cấp hoặc phân cấp, ủy quyền cơ quan chuyên môn cấp Giấy phép đủ điều kiện kinh doanh dịch vụ vũ trường theo mẫu quy định hoặc không cấp Giấy phép. Trường hợp không cấp Giấy phép phải trả lời bằng văn bản và nêu rõ lý do.
- Cơ quan có thẩm quyền cấp Giấy phép gửi 01 bản Giấy phép đến doanh nghiệp hoặc hộ kinh doanh được cấp Giấy phép đủ điều kiện kinh doanh dịch vụ vũ trường, cơ quan cấp Giấy chứng nhận đăng ký doanh nghiệp hoặc hộ kinh doanh, cơ quan công an cấp huyện nơi thực hiện kinh doanh và lưu 01 bản Giấy phép tại cơ quan cấp Giấy phép đủ điều kiện kinh doanh, cơ quan tiếp nhận hồ sơ; đăng tải trên trang thông tin điện tử của cơ quan cấp Giấy phép đủ điều kiện kinh doanh.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Mức thu phí thẩm định cấp Giấy phép là 15.000.000 đồng/giấy;)</w:t>
            </w:r>
          </w:p>
          <w:p>
            <w:pPr>
              <w:spacing w:after="0" w:before="0" w:lineRule="auto" w:line="276"/>
              <w:jc w:val="left"/>
            </w:pPr>
            <w:r>
              <w:rPr>
                <w:rFonts w:ascii="Times New Roman" w:hAnsi="Times New Roman" w:cs="Times New Roman" w:eastAsia="Times New Roman"/>
                <w:b w:val="false"/>
                <w:sz w:val="26"/>
              </w:rPr>
              <w:t>Phí :  Đồng</w:t>
              <w:t xml:space="preserve"> (- Tại các khu vực khác: Mức thu phí thẩm định cấp Giấy phép là 10.000.000 đồng/giấy.)</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Mức thu phí thẩm định cấp Giấy phép là 15.000.000 đồng/giấy;)</w:t>
            </w:r>
          </w:p>
          <w:p>
            <w:pPr>
              <w:spacing w:after="0" w:before="0" w:lineRule="auto" w:line="276"/>
              <w:jc w:val="left"/>
            </w:pPr>
            <w:r>
              <w:rPr>
                <w:rFonts w:ascii="Times New Roman" w:hAnsi="Times New Roman" w:cs="Times New Roman" w:eastAsia="Times New Roman"/>
                <w:b w:val="false"/>
                <w:sz w:val="26"/>
              </w:rPr>
              <w:t>Phí :  Đồng</w:t>
              <w:t xml:space="preserve"> (- Tại các khu vực khác: Mức thu phí thẩm định cấp Giấy phép là 10.000.000 đồng/giấy.)</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Mức thu phí thẩm định cấp Giấy phép là 15.000.000 đồng/giấy;)</w:t>
            </w:r>
          </w:p>
          <w:p>
            <w:pPr>
              <w:spacing w:after="0" w:before="0" w:lineRule="auto" w:line="276"/>
              <w:jc w:val="left"/>
            </w:pPr>
            <w:r>
              <w:rPr>
                <w:rFonts w:ascii="Times New Roman" w:hAnsi="Times New Roman" w:cs="Times New Roman" w:eastAsia="Times New Roman"/>
                <w:b w:val="false"/>
                <w:sz w:val="26"/>
              </w:rPr>
              <w:t>Phí :  Đồng</w:t>
              <w:t xml:space="preserve"> (- Tại các khu vực khác: Mức thu phí thẩm định cấp Giấy phép là 10.000.000 đồng/giấy.)</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có xuất trình bản chính để đối chiếu Giấy chứng nhận đủ điều kiện về an ninh, trật tự.</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phép đủ điều kiện kinh doanh dịch vụ vũ trường (mẫu số 01 tại Phụ lục ban hành kèm theo Nghị định số 148/2024/NĐ-CP ngày 12 tháng 11 năm 2024 của Chính phủ)</w:t>
            </w:r>
          </w:p>
        </w:tc>
        <w:tc>
          <w:p/>
          <w:p>
            <w:pPr>
              <w:spacing w:after="0" w:before="0" w:lineRule="auto" w:line="276"/>
              <w:jc w:val="left"/>
            </w:pPr>
            <w:r>
              <w:rPr>
                <w:rFonts w:ascii="Times New Roman" w:hAnsi="Times New Roman" w:cs="Times New Roman" w:eastAsia="Times New Roman"/>
                <w:b w:val="false"/>
                <w:sz w:val="26"/>
              </w:rPr>
              <w:t>MS01.docx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đủ điều kiện kinh doanh dịch vụ karaoke/vũ trường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54/2019/NĐ-CP</w:t>
            </w:r>
          </w:p>
        </w:tc>
        <w:tc>
          <w:p/>
          <w:p>
            <w:pPr>
              <w:spacing w:after="0" w:before="0" w:lineRule="auto" w:line="276"/>
              <w:jc w:val="left"/>
            </w:pPr>
            <w:r>
              <w:rPr>
                <w:rFonts w:ascii="Times New Roman" w:hAnsi="Times New Roman" w:cs="Times New Roman" w:eastAsia="Times New Roman"/>
                <w:b w:val="false"/>
                <w:sz w:val="26"/>
              </w:rPr>
              <w:t>Nghị định 54/2019/NĐ-CP</w:t>
            </w:r>
          </w:p>
        </w:tc>
        <w:tc>
          <w:p/>
          <w:p>
            <w:pPr>
              <w:spacing w:after="0" w:before="0" w:lineRule="auto" w:line="276"/>
              <w:jc w:val="left"/>
            </w:pPr>
            <w:r>
              <w:rPr>
                <w:rFonts w:ascii="Times New Roman" w:hAnsi="Times New Roman" w:cs="Times New Roman" w:eastAsia="Times New Roman"/>
                <w:b w:val="false"/>
                <w:sz w:val="26"/>
              </w:rPr>
              <w:t>19-06-2019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01/2021/TT-BTC</w:t>
            </w:r>
          </w:p>
        </w:tc>
        <w:tc>
          <w:p/>
          <w:p>
            <w:pPr>
              <w:spacing w:after="0" w:before="0" w:lineRule="auto" w:line="276"/>
              <w:jc w:val="left"/>
            </w:pPr>
            <w:r>
              <w:rPr>
                <w:rFonts w:ascii="Times New Roman" w:hAnsi="Times New Roman" w:cs="Times New Roman" w:eastAsia="Times New Roman"/>
                <w:b w:val="false"/>
                <w:sz w:val="26"/>
              </w:rPr>
              <w:t>Thông tư 01/2021/TT-BTC</w:t>
            </w:r>
          </w:p>
        </w:tc>
        <w:tc>
          <w:p/>
          <w:p>
            <w:pPr>
              <w:spacing w:after="0" w:before="0" w:lineRule="auto" w:line="276"/>
              <w:jc w:val="left"/>
            </w:pPr>
            <w:r>
              <w:rPr>
                <w:rFonts w:ascii="Times New Roman" w:hAnsi="Times New Roman" w:cs="Times New Roman" w:eastAsia="Times New Roman"/>
                <w:b w:val="false"/>
                <w:sz w:val="26"/>
              </w:rPr>
              <w:t>07-01-2021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hoặc hộ kinh doanh được thành lập theo quy định của pháp luật; 
- Bảo đảm các điều kiện về phòng, chống cháy nổ và an ninh, trật tự theo quy định tại Nghị định số 96/2016/NĐ-CP ngày 01/7/2016  và Nghị định số 56/2023/NĐ-CP ngày 24/7/2023 của Chính phủ;
- Phòng vũ trường phải có diện tích sử dụng từ 80m2 trở lên, không kể công trình phụ; 
- Không được đặt chốt cửa bên trong phòng vũ trường hoặc đặt thiết bị báo động (trừ các thiết bị báo cháy nổ); 
- Địa điểm kinh doanh phải cách trường học, bệnh viện, cơ sở tôn giáo, tín ngưỡng, di tích lịch sử - văn hóa từ 200m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2025-11-27T16:30:38Z</dcterms:created>
  <dc:creator>Apache POI</dc:creator>
</cp:coreProperties>
</file>