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thẻ thường trú cho người nước ngoài tại Việt Nam (thực hiện tại cấp tinh)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quan Quản lý xuất nhập cảnh Công an cấp tỉnh.
* Cán bộ tiếp nhận hồ sơ kiểm tra tính pháp lý và nội dung hồ sơ: 
+ Nếu hồ sơ đầy đủ, hợp lệ thì tiếp nhận hồ sơ, in và cấp giấy hẹn trả kết quả cho người nộp hồ sơ; yêu cầu nộp phí cho cán bộ thu phí. Cán bộ thu phí thu tiền, giao biên lai thu tiền cho người đề nghị cấp thẻ tạm trú.
+ Nếu hồ sơ thiếu hoặc không hợp lệ thì cán bộ tiếp nhận hồ sơ hướng dẫn để người nộp hồ sơ hoàn chỉnh.
* Thời gian tiếp nhận hồ sơ: Từ thứ 2 đến sáng thứ 7 hàng tuần (trừ ngày Tết, ngày lễ).</w:t>
      </w:r>
    </w:p>
    <w:p>
      <w:pPr>
        <w:spacing w:after="0" w:before="0" w:lineRule="auto" w:line="276"/>
        <w:jc w:val="both"/>
      </w:pPr>
      <w:r>
        <w:rPr>
          <w:rFonts w:ascii="Times New Roman" w:hAnsi="Times New Roman" w:cs="Times New Roman" w:eastAsia="Times New Roman"/>
          <w:b w:val="false"/>
          <w:sz w:val="26"/>
        </w:rPr>
        <w:t>Bước 3: Cục Quản lý xuất nhập cảnh thông báo bằng văn bản quyết định của Bộ trưởng Bộ Công an về việc người nước ngoài xin thường trú. Nếu được chấp nhận, trong thời hạn 05 ngày làm việc kể từ ngày nhận được thông báo của Cục Quản lý xuất nhập cảnh, Công an tỉnh, thành phố trực thuộc trung ương nơi người nước ngoài xin thường trú thông báo người nước ngoài được giải quyết cho thường trú.</w:t>
      </w:r>
    </w:p>
    <w:p>
      <w:pPr>
        <w:spacing w:after="0" w:before="0" w:lineRule="auto" w:line="276"/>
        <w:jc w:val="both"/>
      </w:pPr>
      <w:r>
        <w:rPr>
          <w:rFonts w:ascii="Times New Roman" w:hAnsi="Times New Roman" w:cs="Times New Roman" w:eastAsia="Times New Roman"/>
          <w:b w:val="false"/>
          <w:sz w:val="26"/>
        </w:rPr>
        <w:t>thường trú, người nước ngoài phải đến Cơ quan quản lý xuất nhập cảnh Công an cấp tỉnh nơi xin thường trú để nhận thẻ thường trú: 
Người nhận đưa giấy biên nhận và nộp lệ phí theo quy định. Cán bộ trả kết quả kiểm tra và yêu cầu ký nhận, trả thẻ thường trú cho người đến nhận kết quả. 
* Thời gian trả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 Tháng</w:t>
            </w:r>
          </w:p>
        </w:tc>
        <w:tc>
          <w:p/>
          <w:p>
            <w:pPr>
              <w:spacing w:after="0" w:before="0" w:lineRule="auto" w:line="276"/>
              <w:jc w:val="left"/>
            </w:pPr>
            <w:r>
              <w:rPr>
                <w:rFonts w:ascii="Times New Roman" w:hAnsi="Times New Roman" w:cs="Times New Roman" w:eastAsia="Times New Roman"/>
                <w:b w:val="false"/>
                <w:sz w:val="26"/>
              </w:rPr>
              <w:t>Lệ phí : 100 USD/thẻ. USD</w:t>
              <w:t xml:space="preserve"> (100 USD/thẻ.)</w:t>
              <w:br/>
              <w:t>File đính kèm: Mẫu-NA12,-Đơn-xin-thường-trú-cho-người-nước-ngoài.-doc.doc</w:t>
            </w:r>
          </w:p>
        </w:tc>
        <w:tc>
          <w:p/>
          <w:p>
            <w:pPr>
              <w:spacing w:after="0" w:before="0" w:lineRule="auto" w:line="276"/>
              <w:jc w:val="left"/>
            </w:pPr>
            <w:r>
              <w:rPr>
                <w:rFonts w:ascii="Times New Roman" w:hAnsi="Times New Roman" w:cs="Times New Roman" w:eastAsia="Times New Roman"/>
                <w:b w:val="false"/>
                <w:sz w:val="26"/>
              </w:rPr>
              <w:t>Nộp hồ sơ trực tiếp tại trụ sở Cơ quan Quản lý xuất nhập cảnh Công an cấp tỉnh.  
+ Trong thời hạn 04 tháng kể từ ngày nhận đủ hồ sơ, Bộ trưởng Bộ Công an xem xét, quyết định cho thường trú; trường hợp xét thấy cần phải thẩm tra bổ sung thì có thể kéo dài thêm nhưng không quá 02 tháng. 
+ Trong thời hạn 05 ngày làm việc kể từ ngày nhận được thông báo của cơ quan quản lý xuất nhập cảnh, Công an tỉnh, thành phố trực thuộc trung ương nơi người nước ngoài xin thường trú thông báo người nước ngoài được giải quyết cho thường trú.
+ Trong thời hạn 03 tháng kể từ khi nhận được thông báo giải quyết cho thường trú, người nước ngoài phải đến cơ quan quản lý xuất nhập cảnh Công an tỉnh, thành phố trực thuộc trung ương nơi xin thường trú để nhận thẻ thường trú.</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thường trú;</w:t>
            </w:r>
          </w:p>
        </w:tc>
        <w:tc>
          <w:p/>
          <w:p>
            <w:pPr>
              <w:spacing w:after="0" w:before="0" w:lineRule="auto" w:line="276"/>
              <w:jc w:val="left"/>
            </w:pPr>
            <w:r>
              <w:rPr>
                <w:rFonts w:ascii="Times New Roman" w:hAnsi="Times New Roman" w:cs="Times New Roman" w:eastAsia="Times New Roman"/>
                <w:b w:val="false"/>
                <w:sz w:val="26"/>
              </w:rPr>
              <w:t>Mẫu-NA12,-Đơn-xin-thường-trú-cho-người-nước-ngoài.-doc.doc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Lý lịch tư pháp do cơ quan có thẩm quyền của nước mà người đó là công dân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Công hàm của cơ quan đại diện của nước mà người đó là công dân đề nghị Việt Nam giải quyết cho người đó thường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hộ chiếu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chứng minh đủ điều kiện được xét cho thường trú quy định tại Điều 40 của Luật Nhập cảnh, xuất cảnh, quá cảnh, cư trú của người nước ngoài tại Việt Nam (Luật số 47/2014/QH13, ngày 16/6/2014);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bảo lãnh cho người nước ngoài thường trú tại Việt Nam (NA11) ban hành kèm theo Thông tư số 22/2023/TT-BCA ngày 30/6/2023 của Bộ Công an.</w:t>
            </w:r>
          </w:p>
        </w:tc>
        <w:tc>
          <w:p/>
          <w:p>
            <w:pPr>
              <w:spacing w:after="0" w:before="0" w:lineRule="auto" w:line="276"/>
              <w:jc w:val="left"/>
            </w:pPr>
            <w:r>
              <w:rPr>
                <w:rFonts w:ascii="Times New Roman" w:hAnsi="Times New Roman" w:cs="Times New Roman" w:eastAsia="Times New Roman"/>
                <w:b w:val="false"/>
                <w:sz w:val="26"/>
              </w:rPr>
              <w:t>NA11.doc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Phòng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Phòng Quản lý xuất, nhập cảnh, Công an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thường trú</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 04/2015/TT-BCA </w:t>
            </w:r>
          </w:p>
        </w:tc>
        <w:tc>
          <w:p/>
          <w:p>
            <w:pPr>
              <w:spacing w:after="0" w:before="0" w:lineRule="auto" w:line="276"/>
              <w:jc w:val="left"/>
            </w:pPr>
            <w:r>
              <w:rPr>
                <w:rFonts w:ascii="Times New Roman" w:hAnsi="Times New Roman" w:cs="Times New Roman" w:eastAsia="Times New Roman"/>
                <w:b w:val="false"/>
                <w:sz w:val="26"/>
              </w:rPr>
              <w:t>04/2015/TT-BCA</w:t>
            </w:r>
          </w:p>
        </w:tc>
        <w:tc>
          <w:p/>
          <w:p>
            <w:pPr>
              <w:spacing w:after="0" w:before="0" w:lineRule="auto" w:line="276"/>
              <w:jc w:val="left"/>
            </w:pPr>
            <w:r>
              <w:rPr>
                <w:rFonts w:ascii="Times New Roman" w:hAnsi="Times New Roman" w:cs="Times New Roman" w:eastAsia="Times New Roman"/>
                <w:b w:val="false"/>
                <w:sz w:val="26"/>
              </w:rPr>
              <w:t>05-01-2015</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 xml:space="preserve"> 31/2015/TT-BCA </w:t>
            </w:r>
          </w:p>
        </w:tc>
        <w:tc>
          <w:p/>
          <w:p>
            <w:pPr>
              <w:spacing w:after="0" w:before="0" w:lineRule="auto" w:line="276"/>
              <w:jc w:val="left"/>
            </w:pPr>
            <w:r>
              <w:rPr>
                <w:rFonts w:ascii="Times New Roman" w:hAnsi="Times New Roman" w:cs="Times New Roman" w:eastAsia="Times New Roman"/>
                <w:b w:val="false"/>
                <w:sz w:val="26"/>
              </w:rPr>
              <w:t>Thông tư 31/2015/TT-BCA</w:t>
            </w:r>
          </w:p>
        </w:tc>
        <w:tc>
          <w:p/>
          <w:p>
            <w:pPr>
              <w:spacing w:after="0" w:before="0" w:lineRule="auto" w:line="276"/>
              <w:jc w:val="left"/>
            </w:pPr>
            <w:r>
              <w:rPr>
                <w:rFonts w:ascii="Times New Roman" w:hAnsi="Times New Roman" w:cs="Times New Roman" w:eastAsia="Times New Roman"/>
                <w:b w:val="false"/>
                <w:sz w:val="26"/>
              </w:rPr>
              <w:t>06-07-2015</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 xml:space="preserve"> 47/2014/QH13 </w:t>
            </w:r>
          </w:p>
        </w:tc>
        <w:tc>
          <w:p/>
          <w:p>
            <w:pPr>
              <w:spacing w:after="0" w:before="0" w:lineRule="auto" w:line="276"/>
              <w:jc w:val="left"/>
            </w:pPr>
            <w:r>
              <w:rPr>
                <w:rFonts w:ascii="Times New Roman" w:hAnsi="Times New Roman" w:cs="Times New Roman" w:eastAsia="Times New Roman"/>
                <w:b w:val="false"/>
                <w:sz w:val="26"/>
              </w:rPr>
              <w:t>Luật 47/2014/QH13</w:t>
            </w:r>
          </w:p>
        </w:tc>
        <w:tc>
          <w:p/>
          <w:p>
            <w:pPr>
              <w:spacing w:after="0" w:before="0" w:lineRule="auto" w:line="276"/>
              <w:jc w:val="left"/>
            </w:pPr>
            <w:r>
              <w:rPr>
                <w:rFonts w:ascii="Times New Roman" w:hAnsi="Times New Roman" w:cs="Times New Roman" w:eastAsia="Times New Roman"/>
                <w:b w:val="false"/>
                <w:sz w:val="26"/>
              </w:rPr>
              <w:t>16-06-2014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r>
        <w:tc>
          <w:p/>
          <w:p>
            <w:pPr>
              <w:spacing w:after="0" w:before="0" w:lineRule="auto" w:line="276"/>
              <w:jc w:val="left"/>
            </w:pPr>
            <w:r>
              <w:rPr>
                <w:rFonts w:ascii="Times New Roman" w:hAnsi="Times New Roman" w:cs="Times New Roman" w:eastAsia="Times New Roman"/>
                <w:b w:val="false"/>
                <w:sz w:val="26"/>
              </w:rPr>
              <w:t>51/2019/QH14</w:t>
            </w:r>
          </w:p>
        </w:tc>
        <w:tc>
          <w:p/>
          <w:p>
            <w:pPr>
              <w:spacing w:after="0" w:before="0" w:lineRule="auto" w:line="276"/>
              <w:jc w:val="left"/>
            </w:pPr>
            <w:r>
              <w:rPr>
                <w:rFonts w:ascii="Times New Roman" w:hAnsi="Times New Roman" w:cs="Times New Roman" w:eastAsia="Times New Roman"/>
                <w:b w:val="false"/>
                <w:sz w:val="26"/>
              </w:rPr>
              <w:t>Luật 51/2019/QH14</w:t>
            </w:r>
          </w:p>
        </w:tc>
        <w:tc>
          <w:p/>
          <w:p>
            <w:pPr>
              <w:spacing w:after="0" w:before="0" w:lineRule="auto" w:line="276"/>
              <w:jc w:val="left"/>
            </w:pPr>
            <w:r>
              <w:rPr>
                <w:rFonts w:ascii="Times New Roman" w:hAnsi="Times New Roman" w:cs="Times New Roman" w:eastAsia="Times New Roman"/>
                <w:b w:val="false"/>
                <w:sz w:val="26"/>
              </w:rPr>
              <w:t>25-11-2019</w:t>
            </w:r>
          </w:p>
        </w:tc>
        <w:tc>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r>
        <w:tc>
          <w:p/>
          <w:p>
            <w:pPr>
              <w:spacing w:after="0" w:before="0" w:lineRule="auto" w:line="276"/>
              <w:jc w:val="left"/>
            </w:pPr>
            <w:r>
              <w:rPr>
                <w:rFonts w:ascii="Times New Roman" w:hAnsi="Times New Roman" w:cs="Times New Roman" w:eastAsia="Times New Roman"/>
                <w:b w:val="false"/>
                <w:sz w:val="26"/>
              </w:rPr>
              <w:t>22/2023/TT-BCA</w:t>
            </w:r>
          </w:p>
        </w:tc>
        <w:tc>
          <w:p/>
          <w:p>
            <w:pPr>
              <w:spacing w:after="0" w:before="0" w:lineRule="auto" w:line="276"/>
              <w:jc w:val="left"/>
            </w:pPr>
            <w:r>
              <w:rPr>
                <w:rFonts w:ascii="Times New Roman" w:hAnsi="Times New Roman" w:cs="Times New Roman" w:eastAsia="Times New Roman"/>
                <w:b w:val="false"/>
                <w:sz w:val="26"/>
              </w:rPr>
              <w:t>Thông tư số 22/2023/TT-BCA</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đảm bảo đúng các trường hợp và điều kiện cho thường trú theo quy định tại Luật Nhập cảnh, xuất cảnh, quá cảnh, cư trú của người nước ngoài tại Việt Nam; cụ thể là:
* Các trường hợp được xét cho thường trú nộp hồ sơ tại Cơ quan Quản lý xuất nhập cảnh Công an cấp tỉnh:
+ Người nước ngoài được cha, mẹ, vợ, chồng, con là công dân Việt Nam đang thường trú tại Việt Nam bảo lãnh.
+ Người không quốc tịch đã tạm trú liên tục tại Việt Nam từ năm 2000 trở về trước.
* Điều kiện xét cho thường trú: 	
+ Người nước ngoài quy định tại các trường hợp nêu trên được xét cho thường trú nếu có chỗ ở hợp pháp và có thu nhập ổn định bảo đảm cuộc sống tại Việt Nam.
+ Người nước ngoài được cha, mẹ, vợ, chồng, con là công dân Việt Nam đang thường trú tại Việt Nam bảo lãnh đã tạm trú tại Việt Nam liên tục từ 03 năm trở lên.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2025-11-27T16:30:41Z</dcterms:created>
  <dc:creator>Apache POI</dc:creator>
</cp:coreProperties>
</file>