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cấp lại Giấy phép liên vận giữa Việt Nam và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đơn vị kinh doanh vận tải nộp hồ sơ cho cơ quan có thẩm quyền cấp giấy phép:
+ Sở Xây dựng các tỉnh, thành phố trực thuộc trung ương cấp: Giấy phép cho các phương tiện thương mại; Giấy phép liên vận cho phương tiện phi thương mại của các cơ quan, tổ chức, cá nhân đóng trên địa bàn địa phương.
+ Sở Xây dựng địa phương nơi có cửa khẩu biên giới giáp với Campuchia cấp giấy phép liên vận cho phương tiện phi thương mại của các tổ chức, cá nhân đóng trên địa bàn các tỉnh khác của Việt Nam đi qua cửa khẩu tại địa phương mình quản lý.</w:t>
      </w:r>
    </w:p>
    <w:p>
      <w:pPr>
        <w:spacing w:after="0" w:before="0" w:lineRule="auto" w:line="276"/>
        <w:jc w:val="both"/>
      </w:pPr>
      <w:r>
        <w:rPr>
          <w:rFonts w:ascii="Times New Roman" w:hAnsi="Times New Roman" w:cs="Times New Roman" w:eastAsia="Times New Roman"/>
          <w:b w:val="false"/>
          <w:sz w:val="26"/>
        </w:rPr>
        <w:t>b) Giải quyết TTHC:
-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tổ chức, cá nhân, đơn vị kinh doanh vận tải trong thời hạn 01 ngày làm việc kể từ ngày nhận hồ sơ;
- Trong thời hạn 01 ngày làm việc kể từ ngày nhận đủ hồ sơ hợp lệ theo quy định, cơ quan có thẩm quyền cấp giấy phép thực hiện cấp giấy phép cho các phương tiện thương mại. Trường hợp không cấp, cơ quan có thẩm quyền cấp giấy phép thông báo bằng văn bản hoặc qua hệ thống dịch vụ công trực tuyến và nêu rõ lý do;
- Trong thời hạn 02 ngày làm việc kể từ ngày nhận đủ hồ sơ hợp lệ theo quy định, cơ quan có thẩm quyền cấp giấy phép thực hiện cấp giấy phép cho các phương tiện phi thương mại. Trường hợp không cấp, cơ quan có thẩm quyền cấp giấy phép thông báo bằng văn bản hoặc qua hệ thống dịch vụ công trực tuyến và nêu rõ lý do;
- Việc trả kết quả được thực hiện tại trụ sở cơ quan có thẩm quyền cấp giấy phép hoặc dịch vụ bưu chính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 đối với các phương tiện thương mại.</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theo quy định đối với các phương tiện phi thương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 đối với các phương tiện thương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theo quy định đối với các phương tiện phi thương mại.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ngày nhận đủ hồ sơ hợp lệ theo quy định đối với các phương tiện thương mại.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theo quy định đối với các phương tiện phi thương mại.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Trường hợp cấp lại khi bị hư hỏng, bị mất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cấp lại giấy phép theo mẫu</w:t>
            </w:r>
          </w:p>
        </w:tc>
        <w:tc>
          <w:p/>
          <w:p>
            <w:pPr>
              <w:spacing w:after="0" w:before="0" w:lineRule="auto" w:line="276"/>
              <w:jc w:val="left"/>
            </w:pPr>
            <w:r>
              <w:rPr>
                <w:rFonts w:ascii="Times New Roman" w:hAnsi="Times New Roman" w:cs="Times New Roman" w:eastAsia="Times New Roman"/>
                <w:b w:val="false"/>
                <w:sz w:val="26"/>
              </w:rPr>
              <w:t>Mucb.docx</w:t>
            </w:r>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Trường hợp cấp; cấp lại khi Giấy phép liên vận giữa Việt Nam và Campuchia hết thời hạn sử dụng hoặc còn thời hạn sử dụng nhưng hết trang đóng dấu xác nhận của các cơ quan quản lý tại cửa khẩu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phương tiện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giấy phép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phương tiện phi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cá nhân phải xuất trình thêm bản sao hoặc bản sao có chứng thực hoặc bản sao điện tử được chứng thực từ bản chính hoặc bản sao điện tử từ sổ gốc hợp đồng thuê phương tiện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hoặc bản sao có chứng thực hoặc bản sao điện tử được chứng thực từ bản chính hoặc bản sao điện tử từ sổ gốc quyết định cử đi công tác của cơ quan có thẩm quyền đối với xe công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đề nghị cấp giấy phép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liên vận giữa Việt Nam và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liên vận giữa Việt Nam và Campuchia được cấp cho phương tiện của các tổ chức, cá nhân, đơn vị kinh doanh vận tải đáp ứng các điều kiện theo quy định pháp luật về hoạt động vận tải đường bộ giữa Việt Nam và Campuchia. 
- Giấy phép liên vận giữa Việt Nam và Campuchia được cấp lại trong trường hợp hết thời hạn sử dụng hoặc còn thời hạn sử dụng nhưng hết trang đóng dấu xác nhận của các cơ quan quản lý tại cửa khẩu hoặc bị hư hỏng, bị mất.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2025-11-27T16:30:50Z</dcterms:created>
  <dc:creator>Apache POI</dc:creator>
</cp:coreProperties>
</file>